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 w:val="right" w:pos="13323"/>
        </w:tabs>
        <w:spacing w:after="0"/>
        <w:rPr>
          <w:rFonts w:hint="default" w:eastAsia="宋体" w:cs="Arial"/>
          <w:b/>
          <w:bCs/>
          <w:sz w:val="20"/>
          <w:szCs w:val="20"/>
          <w:lang w:val="en-US" w:eastAsia="zh-CN"/>
        </w:rPr>
      </w:pPr>
      <w:bookmarkStart w:id="0" w:name="Title"/>
      <w:bookmarkEnd w:id="0"/>
      <w:bookmarkStart w:id="1" w:name="DocumentFor"/>
      <w:bookmarkEnd w:id="1"/>
      <w:r>
        <w:rPr>
          <w:rFonts w:cs="Arial"/>
          <w:b/>
          <w:bCs/>
          <w:sz w:val="20"/>
          <w:szCs w:val="20"/>
        </w:rPr>
        <w:t>3GPP TSG RAN WG2#1</w:t>
      </w:r>
      <w:r>
        <w:rPr>
          <w:rFonts w:cs="Arial"/>
          <w:b/>
          <w:bCs/>
          <w:sz w:val="20"/>
          <w:szCs w:val="20"/>
          <w:lang w:val="en-US"/>
        </w:rPr>
        <w:t>2</w:t>
      </w:r>
      <w:r>
        <w:rPr>
          <w:rFonts w:hint="eastAsia" w:eastAsia="宋体" w:cs="Arial"/>
          <w:b/>
          <w:bCs/>
          <w:sz w:val="20"/>
          <w:szCs w:val="20"/>
          <w:lang w:val="en-US" w:eastAsia="zh-CN"/>
        </w:rPr>
        <w:t>3</w:t>
      </w:r>
      <w:r>
        <w:rPr>
          <w:rFonts w:hint="default" w:cs="Arial"/>
          <w:b/>
          <w:bCs/>
          <w:sz w:val="20"/>
          <w:szCs w:val="20"/>
          <w:lang w:val="en-US"/>
        </w:rPr>
        <w:t>bis</w:t>
      </w:r>
      <w:r>
        <w:rPr>
          <w:rFonts w:cs="Arial"/>
          <w:b/>
          <w:bCs/>
          <w:sz w:val="20"/>
          <w:szCs w:val="20"/>
        </w:rPr>
        <w:tab/>
      </w:r>
      <w:r>
        <w:rPr>
          <w:rFonts w:hint="eastAsia" w:cs="Arial"/>
          <w:b/>
          <w:bCs/>
          <w:sz w:val="20"/>
          <w:szCs w:val="20"/>
        </w:rPr>
        <w:t>R2-2310247</w:t>
      </w:r>
      <w:bookmarkStart w:id="4" w:name="_GoBack"/>
      <w:bookmarkEnd w:id="4"/>
    </w:p>
    <w:p>
      <w:pPr>
        <w:pStyle w:val="105"/>
        <w:tabs>
          <w:tab w:val="right" w:pos="9639"/>
          <w:tab w:val="right" w:pos="13323"/>
        </w:tabs>
        <w:spacing w:after="0"/>
        <w:textAlignment w:val="center"/>
        <w:rPr>
          <w:rFonts w:hint="eastAsia" w:cs="Arial"/>
          <w:b/>
          <w:bCs/>
          <w:sz w:val="20"/>
          <w:szCs w:val="20"/>
          <w:lang w:val="en-US" w:eastAsia="zh-CN"/>
        </w:rPr>
      </w:pPr>
      <w:r>
        <w:rPr>
          <w:rFonts w:hint="eastAsia" w:cs="Arial"/>
          <w:b/>
          <w:bCs/>
          <w:sz w:val="20"/>
          <w:szCs w:val="20"/>
          <w:lang w:val="en-US" w:eastAsia="zh-CN"/>
        </w:rPr>
        <w:t>Xiamen, China, 9-13 October, 2023</w:t>
      </w:r>
    </w:p>
    <w:p>
      <w:pPr>
        <w:pStyle w:val="105"/>
        <w:tabs>
          <w:tab w:val="right" w:pos="9639"/>
          <w:tab w:val="right" w:pos="13323"/>
        </w:tabs>
        <w:spacing w:after="0"/>
        <w:textAlignment w:val="center"/>
        <w:rPr>
          <w:rFonts w:hint="eastAsia" w:cs="Arial"/>
          <w:b/>
          <w:bCs/>
          <w:sz w:val="20"/>
          <w:szCs w:val="20"/>
          <w:lang w:val="en-US" w:eastAsia="zh-CN"/>
        </w:rPr>
      </w:pP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Agenda Item:</w:t>
      </w:r>
      <w:r>
        <w:rPr>
          <w:b/>
          <w:sz w:val="20"/>
          <w:szCs w:val="20"/>
          <w:lang w:val="en-GB" w:eastAsia="en-US"/>
        </w:rPr>
        <w:tab/>
      </w:r>
      <w:r>
        <w:rPr>
          <w:rFonts w:hint="default"/>
          <w:b/>
          <w:sz w:val="20"/>
          <w:szCs w:val="20"/>
          <w:lang w:val="en-US" w:eastAsia="en-US"/>
        </w:rPr>
        <w:t>7</w:t>
      </w:r>
      <w:r>
        <w:rPr>
          <w:b/>
          <w:sz w:val="20"/>
          <w:szCs w:val="20"/>
          <w:lang w:val="en-GB" w:eastAsia="en-US"/>
        </w:rPr>
        <w:t>.7.4.2</w:t>
      </w:r>
    </w:p>
    <w:p>
      <w:pPr>
        <w:tabs>
          <w:tab w:val="left" w:pos="1985"/>
        </w:tabs>
        <w:overflowPunct/>
        <w:autoSpaceDE/>
        <w:autoSpaceDN/>
        <w:adjustRightInd/>
        <w:spacing w:after="180"/>
        <w:ind w:left="1980" w:hanging="1980"/>
        <w:jc w:val="left"/>
        <w:textAlignment w:val="auto"/>
        <w:rPr>
          <w:rFonts w:hint="default" w:eastAsia="宋体"/>
          <w:b/>
          <w:sz w:val="20"/>
          <w:szCs w:val="20"/>
          <w:lang w:val="en-US" w:eastAsia="zh-CN"/>
        </w:rPr>
      </w:pPr>
      <w:r>
        <w:rPr>
          <w:b/>
          <w:sz w:val="20"/>
          <w:szCs w:val="20"/>
          <w:lang w:val="en-GB" w:eastAsia="en-US"/>
        </w:rPr>
        <w:t>Source:</w:t>
      </w:r>
      <w:r>
        <w:rPr>
          <w:b/>
          <w:sz w:val="20"/>
          <w:szCs w:val="20"/>
          <w:lang w:val="en-GB" w:eastAsia="en-US"/>
        </w:rPr>
        <w:tab/>
      </w:r>
      <w:r>
        <w:rPr>
          <w:b/>
          <w:sz w:val="20"/>
          <w:szCs w:val="20"/>
          <w:lang w:val="en-GB" w:eastAsia="en-US"/>
        </w:rPr>
        <w:t>CMCC</w:t>
      </w:r>
    </w:p>
    <w:p>
      <w:pPr>
        <w:tabs>
          <w:tab w:val="left" w:pos="1985"/>
        </w:tabs>
        <w:overflowPunct/>
        <w:autoSpaceDE/>
        <w:autoSpaceDN/>
        <w:adjustRightInd/>
        <w:spacing w:after="180"/>
        <w:ind w:left="1980" w:hanging="1980"/>
        <w:jc w:val="left"/>
        <w:textAlignment w:val="auto"/>
        <w:rPr>
          <w:rFonts w:hint="default" w:eastAsia="宋体"/>
          <w:b/>
          <w:sz w:val="20"/>
          <w:szCs w:val="20"/>
          <w:lang w:val="en-US"/>
        </w:rPr>
      </w:pPr>
      <w:r>
        <w:rPr>
          <w:b/>
          <w:sz w:val="20"/>
          <w:szCs w:val="20"/>
          <w:lang w:val="en-GB" w:eastAsia="en-US"/>
        </w:rPr>
        <w:t>Title:</w:t>
      </w:r>
      <w:r>
        <w:rPr>
          <w:b/>
          <w:sz w:val="20"/>
          <w:szCs w:val="20"/>
          <w:lang w:val="en-GB" w:eastAsia="en-US"/>
        </w:rPr>
        <w:tab/>
      </w:r>
      <w:r>
        <w:rPr>
          <w:rFonts w:hint="default"/>
          <w:b/>
          <w:sz w:val="20"/>
          <w:szCs w:val="20"/>
          <w:lang w:val="en-US" w:eastAsia="en-US"/>
        </w:rPr>
        <w:t>Further d</w:t>
      </w:r>
      <w:r>
        <w:rPr>
          <w:rFonts w:hint="default" w:eastAsia="宋体"/>
          <w:b/>
          <w:sz w:val="20"/>
          <w:szCs w:val="20"/>
          <w:lang w:val="en-US"/>
        </w:rPr>
        <w:t>iscussion on PCI unchanged</w:t>
      </w: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Document for:</w:t>
      </w:r>
      <w:r>
        <w:rPr>
          <w:b/>
          <w:sz w:val="20"/>
          <w:szCs w:val="20"/>
          <w:lang w:val="en-GB" w:eastAsia="en-US"/>
        </w:rPr>
        <w:tab/>
      </w:r>
      <w:r>
        <w:rPr>
          <w:b/>
          <w:sz w:val="20"/>
          <w:szCs w:val="20"/>
          <w:lang w:val="en-GB" w:eastAsia="en-US"/>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eastAsiaTheme="minorEastAsia"/>
          <w:bCs/>
        </w:rPr>
        <w:t xml:space="preserve"> meeting, </w:t>
      </w:r>
      <w:r>
        <w:rPr>
          <w:rFonts w:hint="eastAsia" w:cs="Arial" w:eastAsiaTheme="minorEastAsia"/>
          <w:bCs/>
        </w:rPr>
        <w:t>there were some discussions</w:t>
      </w:r>
      <w:r>
        <w:rPr>
          <w:rFonts w:cs="Arial" w:eastAsiaTheme="minorEastAsia"/>
          <w:bCs/>
        </w:rPr>
        <w:t xml:space="preserve"> about </w:t>
      </w:r>
      <w:r>
        <w:rPr>
          <w:rFonts w:hint="default" w:cs="Arial" w:eastAsiaTheme="minorEastAsia"/>
          <w:bCs/>
          <w:lang w:val="en-US"/>
        </w:rPr>
        <w:t>PCI unchanged</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6"/>
        <w:pBdr>
          <w:top w:val="single" w:color="auto" w:sz="4" w:space="1"/>
          <w:left w:val="single" w:color="auto" w:sz="4" w:space="1"/>
          <w:bottom w:val="single" w:color="auto" w:sz="4" w:space="1"/>
          <w:right w:val="single" w:color="auto" w:sz="4" w:space="1"/>
        </w:pBdr>
      </w:pPr>
      <w:r>
        <w:t>Agreements:</w:t>
      </w:r>
    </w:p>
    <w:p>
      <w:pPr>
        <w:pStyle w:val="6"/>
        <w:numPr>
          <w:ilvl w:val="0"/>
          <w:numId w:val="11"/>
        </w:numPr>
        <w:pBdr>
          <w:top w:val="single" w:color="auto" w:sz="4" w:space="1"/>
          <w:left w:val="single" w:color="auto" w:sz="4" w:space="1"/>
          <w:bottom w:val="single" w:color="auto" w:sz="4" w:space="1"/>
          <w:right w:val="single" w:color="auto" w:sz="4" w:space="1"/>
        </w:pBdr>
      </w:pPr>
      <w:r>
        <w:t>An explicit indication will be introduced to enable the unchanged PCI switch</w:t>
      </w:r>
    </w:p>
    <w:p>
      <w:pPr>
        <w:pStyle w:val="6"/>
        <w:numPr>
          <w:ilvl w:val="0"/>
          <w:numId w:val="11"/>
        </w:numPr>
        <w:pBdr>
          <w:top w:val="single" w:color="auto" w:sz="4" w:space="1"/>
          <w:left w:val="single" w:color="auto" w:sz="4" w:space="1"/>
          <w:bottom w:val="single" w:color="auto" w:sz="4" w:space="1"/>
          <w:right w:val="single" w:color="auto" w:sz="4" w:space="1"/>
        </w:pBdr>
      </w:pPr>
      <w:r>
        <w:t>The unchanged PCI mechanism can be applied to the case where the coverage gap is zero or negligible (where there is no need to introduce t-gap or t-start). FFS whether we need to support scenarios that require the introduction of t-gap or t-start</w:t>
      </w:r>
    </w:p>
    <w:p>
      <w:pPr>
        <w:pStyle w:val="6"/>
        <w:numPr>
          <w:ilvl w:val="0"/>
          <w:numId w:val="11"/>
        </w:numPr>
        <w:pBdr>
          <w:top w:val="single" w:color="auto" w:sz="4" w:space="1"/>
          <w:left w:val="single" w:color="auto" w:sz="4" w:space="1"/>
          <w:bottom w:val="single" w:color="auto" w:sz="4" w:space="1"/>
          <w:right w:val="single" w:color="auto" w:sz="4" w:space="1"/>
        </w:pBdr>
      </w:pPr>
      <w:r>
        <w:t>PCI unchanged procedure can be performed without performing RACH</w:t>
      </w:r>
    </w:p>
    <w:p>
      <w:pPr>
        <w:pStyle w:val="6"/>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In the unchanged PCI case, the UE considers UL synchronization timer expired at t-Service (current cell stop time) to stop any UL operation. FFS on timeAlignmentTimer handling.</w:t>
      </w:r>
    </w:p>
    <w:p>
      <w:pPr>
        <w:pStyle w:val="6"/>
        <w:numPr>
          <w:ilvl w:val="0"/>
          <w:numId w:val="12"/>
        </w:numPr>
        <w:pBdr>
          <w:top w:val="single" w:color="auto" w:sz="4" w:space="1"/>
          <w:left w:val="single" w:color="auto" w:sz="4" w:space="4"/>
          <w:bottom w:val="single" w:color="auto" w:sz="4" w:space="1"/>
          <w:right w:val="single" w:color="auto" w:sz="4" w:space="4"/>
        </w:pBdr>
      </w:pPr>
      <w:r>
        <w:t>In the unchanged PCI case, for RACH-based solution, the UE may trigger RACH immediately after DL synchronizing with the new satellite</w:t>
      </w:r>
    </w:p>
    <w:p>
      <w:pPr>
        <w:pStyle w:val="6"/>
        <w:numPr>
          <w:ilvl w:val="0"/>
          <w:numId w:val="12"/>
        </w:numPr>
        <w:pBdr>
          <w:top w:val="single" w:color="auto" w:sz="4" w:space="1"/>
          <w:left w:val="single" w:color="auto" w:sz="4" w:space="4"/>
          <w:bottom w:val="single" w:color="auto" w:sz="4" w:space="1"/>
          <w:right w:val="single" w:color="auto" w:sz="4" w:space="4"/>
        </w:pBdr>
      </w:pPr>
      <w:r>
        <w:t>The UE specific Koffset, if configured, is not used after t-Service and the UE uses the cell specifc Koffset until the UE receives new differential Koffset MAC CE.</w:t>
      </w:r>
    </w:p>
    <w:p>
      <w:pPr>
        <w:suppressAutoHyphens/>
        <w:adjustRightInd/>
        <w:spacing w:before="120"/>
        <w:rPr>
          <w:rFonts w:hint="default" w:eastAsiaTheme="minorEastAsia"/>
          <w:lang w:val="en-US"/>
        </w:rPr>
      </w:pPr>
      <w:r>
        <w:rPr>
          <w:rFonts w:hint="eastAsia" w:cs="Arial" w:eastAsiaTheme="minorEastAsia"/>
          <w:lang w:val="en-US" w:eastAsia="zh-CN"/>
        </w:rPr>
        <w:t xml:space="preserve">And in the reply LS [2] from RAN1, the feasibility of soft satellite switch is confirmed with some conditions. </w:t>
      </w:r>
      <w:r>
        <w:rPr>
          <w:rFonts w:cs="Arial" w:eastAsiaTheme="minorEastAsia"/>
        </w:rPr>
        <w:t>Then i</w:t>
      </w:r>
      <w:r>
        <w:rPr>
          <w:rFonts w:cs="Arial"/>
        </w:rPr>
        <w:t xml:space="preserve">n this contribution, we would like to provide </w:t>
      </w:r>
      <w:r>
        <w:rPr>
          <w:rFonts w:hint="eastAsia" w:eastAsia="宋体" w:cs="Arial"/>
        </w:rPr>
        <w:t xml:space="preserve">our </w:t>
      </w:r>
      <w:r>
        <w:rPr>
          <w:rFonts w:hint="default" w:eastAsia="宋体" w:cs="Arial"/>
          <w:lang w:val="en-US"/>
        </w:rPr>
        <w:t xml:space="preserve">further </w:t>
      </w:r>
      <w:r>
        <w:rPr>
          <w:rFonts w:hint="eastAsia" w:eastAsia="宋体" w:cs="Arial"/>
        </w:rPr>
        <w:t xml:space="preserve">considerations on </w:t>
      </w:r>
      <w:r>
        <w:rPr>
          <w:rFonts w:hint="default" w:cs="Arial" w:eastAsiaTheme="minorEastAsia"/>
          <w:lang w:val="en-US"/>
        </w:rPr>
        <w:t>PCI unchanged</w:t>
      </w:r>
      <w:r>
        <w:rPr>
          <w:rFonts w:hint="eastAsia" w:cs="Arial" w:eastAsiaTheme="minorEastAsia"/>
          <w:lang w:val="en-US" w:eastAsia="zh-CN"/>
        </w:rPr>
        <w:t xml:space="preserve"> solution</w:t>
      </w:r>
      <w:r>
        <w:rPr>
          <w:rFonts w:hint="default" w:cs="Arial" w:eastAsiaTheme="minorEastAsia"/>
          <w:lang w:val="en-US"/>
        </w:rPr>
        <w:t>.</w:t>
      </w:r>
    </w:p>
    <w:p>
      <w:pPr>
        <w:pStyle w:val="2"/>
        <w:rPr>
          <w:rFonts w:cs="Arial"/>
          <w:sz w:val="32"/>
          <w:szCs w:val="32"/>
        </w:rPr>
      </w:pPr>
      <w:r>
        <w:rPr>
          <w:rFonts w:cs="Arial"/>
          <w:sz w:val="32"/>
          <w:szCs w:val="32"/>
        </w:rPr>
        <w:t>Discussion</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宋体"/>
          <w:sz w:val="28"/>
          <w:szCs w:val="28"/>
          <w:lang w:val="en-US" w:eastAsia="zh-CN"/>
        </w:rPr>
      </w:pPr>
      <w:bookmarkStart w:id="2" w:name="_Hlk41985036"/>
      <w:r>
        <w:rPr>
          <w:rFonts w:hint="default"/>
          <w:b/>
          <w:bCs/>
          <w:sz w:val="28"/>
          <w:szCs w:val="28"/>
          <w:u w:val="single"/>
          <w:lang w:val="en-US"/>
        </w:rPr>
        <w:t>2.</w:t>
      </w:r>
      <w:r>
        <w:rPr>
          <w:rFonts w:hint="eastAsia" w:eastAsia="宋体"/>
          <w:b/>
          <w:bCs/>
          <w:sz w:val="28"/>
          <w:szCs w:val="28"/>
          <w:u w:val="single"/>
          <w:lang w:val="en-US" w:eastAsia="zh-CN"/>
        </w:rPr>
        <w:t>1</w:t>
      </w:r>
      <w:r>
        <w:rPr>
          <w:rFonts w:hint="default"/>
          <w:b/>
          <w:bCs/>
          <w:sz w:val="28"/>
          <w:szCs w:val="28"/>
          <w:u w:val="single"/>
          <w:lang w:val="en-US"/>
        </w:rPr>
        <w:t xml:space="preserve"> </w:t>
      </w:r>
      <w:r>
        <w:rPr>
          <w:rFonts w:hint="eastAsia" w:eastAsia="宋体"/>
          <w:b/>
          <w:bCs/>
          <w:sz w:val="28"/>
          <w:szCs w:val="28"/>
          <w:u w:val="single"/>
          <w:lang w:val="en-US" w:eastAsia="zh-CN"/>
        </w:rPr>
        <w:t>Indication for unchanged PCI switch enabling</w:t>
      </w:r>
    </w:p>
    <w:p>
      <w:pPr>
        <w:rPr>
          <w:rFonts w:hint="eastAsia" w:eastAsia="宋体"/>
          <w:lang w:val="en-US" w:eastAsia="zh-CN"/>
        </w:rPr>
      </w:pPr>
      <w:r>
        <w:rPr>
          <w:rFonts w:hint="eastAsia" w:eastAsia="宋体"/>
          <w:lang w:val="en-US" w:eastAsia="zh-CN"/>
        </w:rPr>
        <w:t>In last meeting, we have firstly agree that the unchanged PCI solution can be applied to the case where the coverage gap is zero or negligible (where there is no need to introduce t-gap or t-start) and an explicit indication is needed to introduce to enable the unchanged PCI switch due to just reusing the t-service. Regarding the indication, it is used to inform the UE to know that it is in a scenario where the PCI does not change after satellite switch, which is a cell-specific parameter. And it is reasonable to be included in the system information(e.g. reuse SIB19). Further, considering that UE needs to know the duration of the unchanged PCI scenario, we could utilize the indication directly or introduce time information with the indication, the following two options could be considered:</w:t>
      </w:r>
    </w:p>
    <w:p>
      <w:pPr>
        <w:ind w:firstLine="567" w:firstLineChars="0"/>
        <w:rPr>
          <w:rFonts w:hint="eastAsia" w:eastAsia="宋体"/>
          <w:b w:val="0"/>
          <w:bCs w:val="0"/>
          <w:lang w:val="en-US" w:eastAsia="zh-CN"/>
        </w:rPr>
      </w:pPr>
      <w:r>
        <w:rPr>
          <w:rFonts w:hint="eastAsia" w:eastAsia="宋体"/>
          <w:b/>
          <w:bCs/>
          <w:lang w:val="en-US" w:eastAsia="zh-CN"/>
        </w:rPr>
        <w:t>Option 1:</w:t>
      </w:r>
      <w:r>
        <w:rPr>
          <w:rFonts w:hint="eastAsia" w:eastAsia="宋体"/>
          <w:b w:val="0"/>
          <w:bCs w:val="0"/>
          <w:lang w:val="en-US" w:eastAsia="zh-CN"/>
        </w:rPr>
        <w:t xml:space="preserve"> include the indication in the system information(e.g. SIB19) along with each new coming satellite</w:t>
      </w:r>
    </w:p>
    <w:p>
      <w:pPr>
        <w:ind w:firstLine="567" w:firstLineChars="0"/>
        <w:rPr>
          <w:rFonts w:hint="default" w:eastAsia="宋体"/>
          <w:b w:val="0"/>
          <w:bCs w:val="0"/>
          <w:lang w:val="en-US" w:eastAsia="zh-CN"/>
        </w:rPr>
      </w:pPr>
      <w:r>
        <w:rPr>
          <w:rFonts w:hint="eastAsia" w:eastAsia="宋体"/>
          <w:b/>
          <w:bCs/>
          <w:lang w:val="en-US" w:eastAsia="zh-CN"/>
        </w:rPr>
        <w:t xml:space="preserve">Option 2: </w:t>
      </w:r>
      <w:r>
        <w:rPr>
          <w:rFonts w:hint="eastAsia" w:eastAsia="宋体"/>
          <w:b w:val="0"/>
          <w:bCs w:val="0"/>
          <w:lang w:val="en-US" w:eastAsia="zh-CN"/>
        </w:rPr>
        <w:t>introduce time information together with the indication</w:t>
      </w:r>
    </w:p>
    <w:p>
      <w:pPr>
        <w:pStyle w:val="60"/>
        <w:spacing w:after="0"/>
        <w:ind w:left="0" w:firstLine="0"/>
        <w:rPr>
          <w:rFonts w:hint="eastAsia" w:eastAsiaTheme="minorEastAsia"/>
          <w:b/>
          <w:bCs/>
          <w:color w:val="auto"/>
          <w:sz w:val="20"/>
          <w:szCs w:val="20"/>
          <w:lang w:eastAsia="zh-CN"/>
        </w:rPr>
      </w:pPr>
      <w:r>
        <w:rPr>
          <w:rFonts w:hint="eastAsia" w:eastAsiaTheme="minorEastAsia"/>
          <w:b w:val="0"/>
          <w:bCs w:val="0"/>
          <w:color w:val="auto"/>
          <w:sz w:val="20"/>
          <w:szCs w:val="20"/>
          <w:lang w:val="en-US" w:eastAsia="zh-CN"/>
        </w:rPr>
        <w:t>Option 1 does not need additional time information, but requires to provide the indication each time when a new satellite arrives. Then option 2 just needs to indicate one time, while additional time information is demanded to assist UE to have acknowledge of how long the PCI unchanged scenario lasts.</w:t>
      </w:r>
    </w:p>
    <w:p>
      <w:pPr>
        <w:pStyle w:val="60"/>
        <w:keepNext w:val="0"/>
        <w:keepLines w:val="0"/>
        <w:pageBreakBefore w:val="0"/>
        <w:widowControl/>
        <w:kinsoku/>
        <w:wordWrap/>
        <w:overflowPunct w:val="0"/>
        <w:topLinePunct w:val="0"/>
        <w:autoSpaceDE w:val="0"/>
        <w:autoSpaceDN w:val="0"/>
        <w:bidi w:val="0"/>
        <w:adjustRightInd w:val="0"/>
        <w:snapToGrid/>
        <w:spacing w:before="120" w:after="0"/>
        <w:ind w:left="0" w:firstLine="0"/>
        <w:textAlignment w:val="baseline"/>
        <w:rPr>
          <w:rFonts w:hint="eastAsia" w:eastAsia="宋体"/>
          <w:b/>
          <w:bCs/>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1</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w:t>
      </w:r>
      <w:r>
        <w:rPr>
          <w:rFonts w:hint="eastAsia" w:eastAsia="宋体"/>
          <w:b/>
          <w:bCs/>
          <w:lang w:val="en-US" w:eastAsia="zh-CN"/>
        </w:rPr>
        <w:t xml:space="preserve"> is proposed that the indication is included in the system information(e.g. reuse SIB19).</w:t>
      </w:r>
    </w:p>
    <w:p>
      <w:pPr>
        <w:pStyle w:val="60"/>
        <w:spacing w:after="0"/>
        <w:ind w:left="0" w:firstLine="0"/>
        <w:rPr>
          <w:rFonts w:hint="eastAsia" w:eastAsia="宋体"/>
          <w:b/>
          <w:bCs/>
          <w:lang w:val="en-US" w:eastAsia="zh-CN"/>
        </w:rPr>
      </w:pPr>
      <w:r>
        <w:rPr>
          <w:rFonts w:hint="eastAsia" w:eastAsia="宋体"/>
          <w:b/>
          <w:bCs/>
          <w:lang w:val="en-US" w:eastAsia="zh-CN"/>
        </w:rPr>
        <w:t>Proposal 2: In order to help UE to know the duration of the unchanged PCI scenario, the following two options could be considered:</w:t>
      </w:r>
    </w:p>
    <w:p>
      <w:pPr>
        <w:pStyle w:val="60"/>
        <w:spacing w:after="0"/>
        <w:ind w:left="0" w:firstLine="567" w:firstLineChars="0"/>
        <w:rPr>
          <w:rFonts w:hint="eastAsia" w:eastAsia="宋体"/>
          <w:b/>
          <w:bCs/>
          <w:lang w:val="en-US" w:eastAsia="zh-CN"/>
        </w:rPr>
      </w:pPr>
      <w:r>
        <w:rPr>
          <w:rFonts w:hint="eastAsia" w:eastAsia="宋体"/>
          <w:b/>
          <w:bCs/>
          <w:lang w:val="en-US" w:eastAsia="zh-CN"/>
        </w:rPr>
        <w:t>Option 1: include the indication in the system information(e.g. SIB19) along with each new coming satellite</w:t>
      </w:r>
    </w:p>
    <w:p>
      <w:pPr>
        <w:pStyle w:val="60"/>
        <w:spacing w:after="0"/>
        <w:ind w:left="0" w:firstLine="567" w:firstLineChars="0"/>
        <w:rPr>
          <w:rFonts w:hint="eastAsia" w:eastAsia="宋体"/>
          <w:b/>
          <w:bCs/>
          <w:lang w:val="en-US" w:eastAsia="zh-CN"/>
        </w:rPr>
      </w:pPr>
      <w:r>
        <w:rPr>
          <w:rFonts w:hint="eastAsia" w:eastAsia="宋体"/>
          <w:b/>
          <w:bCs/>
          <w:lang w:val="en-US" w:eastAsia="zh-CN"/>
        </w:rPr>
        <w:t>Option 2: introduce time information together with the indication</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宋体"/>
          <w:sz w:val="28"/>
          <w:szCs w:val="28"/>
          <w:lang w:val="en-US" w:eastAsia="zh-CN"/>
        </w:rPr>
      </w:pPr>
      <w:r>
        <w:rPr>
          <w:rFonts w:hint="default"/>
          <w:b/>
          <w:bCs/>
          <w:sz w:val="28"/>
          <w:szCs w:val="28"/>
          <w:u w:val="single"/>
          <w:lang w:val="en-US"/>
        </w:rPr>
        <w:t>2.</w:t>
      </w:r>
      <w:r>
        <w:rPr>
          <w:rFonts w:hint="eastAsia" w:eastAsia="宋体"/>
          <w:b/>
          <w:bCs/>
          <w:sz w:val="28"/>
          <w:szCs w:val="28"/>
          <w:u w:val="single"/>
          <w:lang w:val="en-US" w:eastAsia="zh-CN"/>
        </w:rPr>
        <w:t>2</w:t>
      </w:r>
      <w:r>
        <w:rPr>
          <w:rFonts w:hint="default"/>
          <w:b/>
          <w:bCs/>
          <w:sz w:val="28"/>
          <w:szCs w:val="28"/>
          <w:u w:val="single"/>
          <w:lang w:val="en-US"/>
        </w:rPr>
        <w:t xml:space="preserve"> </w:t>
      </w:r>
      <w:r>
        <w:rPr>
          <w:rFonts w:hint="eastAsia" w:eastAsia="宋体"/>
          <w:b/>
          <w:bCs/>
          <w:sz w:val="28"/>
          <w:szCs w:val="28"/>
          <w:u w:val="single"/>
          <w:lang w:val="en-US" w:eastAsia="zh-CN"/>
        </w:rPr>
        <w:t>Soft satellite switch</w:t>
      </w:r>
    </w:p>
    <w:p>
      <w:pPr>
        <w:pStyle w:val="60"/>
        <w:spacing w:after="0"/>
        <w:ind w:left="0" w:firstLine="0"/>
        <w:rPr>
          <w:rFonts w:hint="eastAsia"/>
          <w:color w:val="000000"/>
          <w:szCs w:val="20"/>
          <w:lang w:val="en-US" w:eastAsia="zh-CN"/>
        </w:rPr>
      </w:pPr>
      <w:r>
        <w:rPr>
          <w:rFonts w:hint="eastAsia" w:eastAsiaTheme="minorEastAsia"/>
          <w:b w:val="0"/>
          <w:bCs w:val="0"/>
          <w:lang w:val="en-US" w:eastAsia="zh-CN"/>
        </w:rPr>
        <w:t>As</w:t>
      </w:r>
      <w:r>
        <w:rPr>
          <w:rFonts w:hint="default" w:eastAsiaTheme="minorEastAsia"/>
          <w:b w:val="0"/>
          <w:bCs w:val="0"/>
          <w:lang w:val="en-US" w:eastAsia="zh-CN"/>
        </w:rPr>
        <w:t xml:space="preserve"> </w:t>
      </w:r>
      <w:r>
        <w:rPr>
          <w:rFonts w:hint="eastAsia" w:eastAsiaTheme="minorEastAsia"/>
          <w:b w:val="0"/>
          <w:bCs w:val="0"/>
          <w:lang w:val="en-US" w:eastAsia="zh-CN"/>
        </w:rPr>
        <w:t>mentioned above, RAN1 has concluded that</w:t>
      </w:r>
      <w:r>
        <w:rPr>
          <w:rFonts w:hint="eastAsia"/>
          <w:color w:val="000000"/>
          <w:szCs w:val="20"/>
          <w:lang w:eastAsia="zh-CN"/>
        </w:rPr>
        <w:t xml:space="preserve"> it is </w:t>
      </w:r>
      <w:r>
        <w:rPr>
          <w:color w:val="000000"/>
          <w:szCs w:val="20"/>
          <w:lang w:eastAsia="zh-CN"/>
        </w:rPr>
        <w:t>feasible</w:t>
      </w:r>
      <w:r>
        <w:rPr>
          <w:rFonts w:hint="eastAsia"/>
          <w:color w:val="000000"/>
          <w:szCs w:val="20"/>
          <w:lang w:eastAsia="zh-CN"/>
        </w:rPr>
        <w:t xml:space="preserve"> for soft satellite switching without PCI change</w:t>
      </w:r>
      <w:r>
        <w:rPr>
          <w:rFonts w:hint="eastAsia"/>
          <w:color w:val="000000"/>
          <w:szCs w:val="20"/>
          <w:lang w:val="en-US" w:eastAsia="zh-CN"/>
        </w:rPr>
        <w:t xml:space="preserve"> under the flowing conditions [2]:</w:t>
      </w:r>
    </w:p>
    <w:p>
      <w:pPr>
        <w:pStyle w:val="109"/>
        <w:numPr>
          <w:ilvl w:val="0"/>
          <w:numId w:val="13"/>
        </w:numPr>
        <w:ind w:firstLineChars="0"/>
        <w:rPr>
          <w:rFonts w:eastAsiaTheme="minorEastAsia"/>
          <w:i/>
          <w:iCs/>
          <w:lang w:eastAsia="zh-CN"/>
        </w:rPr>
      </w:pPr>
      <w:r>
        <w:rPr>
          <w:rFonts w:hint="eastAsia" w:eastAsiaTheme="minorEastAsia"/>
          <w:i/>
          <w:iCs/>
          <w:lang w:eastAsia="zh-CN"/>
        </w:rPr>
        <w:t xml:space="preserve">UE is not required to connect to two satellites </w:t>
      </w:r>
      <w:r>
        <w:rPr>
          <w:rFonts w:eastAsiaTheme="minorEastAsia"/>
          <w:i/>
          <w:iCs/>
          <w:lang w:eastAsia="zh-CN"/>
        </w:rPr>
        <w:t>simultaneously</w:t>
      </w:r>
      <w:r>
        <w:rPr>
          <w:rFonts w:hint="eastAsia" w:eastAsiaTheme="minorEastAsia"/>
          <w:i/>
          <w:iCs/>
          <w:lang w:eastAsia="zh-CN"/>
        </w:rPr>
        <w:t xml:space="preserve"> during soft satellite switching. </w:t>
      </w:r>
    </w:p>
    <w:p>
      <w:pPr>
        <w:pStyle w:val="109"/>
        <w:numPr>
          <w:ilvl w:val="0"/>
          <w:numId w:val="13"/>
        </w:numPr>
        <w:ind w:firstLineChars="0"/>
        <w:rPr>
          <w:rFonts w:eastAsiaTheme="minorEastAsia"/>
          <w:i/>
          <w:iCs/>
          <w:lang w:eastAsia="zh-CN"/>
        </w:rPr>
      </w:pPr>
      <w:r>
        <w:rPr>
          <w:rFonts w:hint="eastAsia" w:eastAsiaTheme="minorEastAsia"/>
          <w:i/>
          <w:iCs/>
          <w:lang w:eastAsia="zh-CN"/>
        </w:rPr>
        <w:t xml:space="preserve">Interference avoidance/mitigation between two satellites may potentially be done by gNB </w:t>
      </w:r>
      <w:r>
        <w:rPr>
          <w:rFonts w:eastAsiaTheme="minorEastAsia"/>
          <w:i/>
          <w:iCs/>
          <w:lang w:eastAsia="zh-CN"/>
        </w:rPr>
        <w:t>implementation</w:t>
      </w:r>
      <w:r>
        <w:rPr>
          <w:rFonts w:hint="eastAsia" w:eastAsiaTheme="minorEastAsia"/>
          <w:i/>
          <w:iCs/>
          <w:lang w:eastAsia="zh-CN"/>
        </w:rPr>
        <w:t xml:space="preserve"> at least to ensure non-colliding SSB with same PCI at UE side. </w:t>
      </w:r>
    </w:p>
    <w:p>
      <w:pPr>
        <w:pStyle w:val="109"/>
        <w:numPr>
          <w:ilvl w:val="0"/>
          <w:numId w:val="13"/>
        </w:numPr>
        <w:ind w:firstLineChars="0"/>
        <w:rPr>
          <w:rFonts w:eastAsiaTheme="minorEastAsia"/>
          <w:i/>
          <w:iCs/>
          <w:lang w:eastAsia="zh-CN"/>
        </w:rPr>
      </w:pPr>
      <w:r>
        <w:rPr>
          <w:rFonts w:hint="eastAsia" w:eastAsiaTheme="minorEastAsia"/>
          <w:i/>
          <w:iCs/>
          <w:lang w:eastAsia="zh-CN"/>
        </w:rPr>
        <w:t>U</w:t>
      </w:r>
      <w:r>
        <w:rPr>
          <w:rFonts w:eastAsiaTheme="minorEastAsia"/>
          <w:i/>
          <w:iCs/>
          <w:lang w:eastAsia="zh-CN"/>
        </w:rPr>
        <w:t xml:space="preserve">E </w:t>
      </w:r>
      <w:r>
        <w:rPr>
          <w:rFonts w:hint="eastAsia" w:eastAsiaTheme="minorEastAsia"/>
          <w:i/>
          <w:iCs/>
          <w:lang w:eastAsia="zh-CN"/>
        </w:rPr>
        <w:t xml:space="preserve">is provided with the </w:t>
      </w:r>
      <w:r>
        <w:rPr>
          <w:rFonts w:eastAsiaTheme="minorEastAsia"/>
          <w:i/>
          <w:iCs/>
          <w:lang w:eastAsia="zh-CN"/>
        </w:rPr>
        <w:t>infor</w:t>
      </w:r>
      <w:r>
        <w:rPr>
          <w:rFonts w:hint="eastAsia" w:eastAsiaTheme="minorEastAsia"/>
          <w:i/>
          <w:iCs/>
          <w:lang w:eastAsia="zh-CN"/>
        </w:rPr>
        <w:t>m</w:t>
      </w:r>
      <w:r>
        <w:rPr>
          <w:rFonts w:eastAsiaTheme="minorEastAsia"/>
          <w:i/>
          <w:iCs/>
          <w:lang w:eastAsia="zh-CN"/>
        </w:rPr>
        <w:t xml:space="preserve">ation on new </w:t>
      </w:r>
      <w:r>
        <w:rPr>
          <w:rFonts w:hint="eastAsia" w:eastAsiaTheme="minorEastAsia"/>
          <w:i/>
          <w:iCs/>
          <w:lang w:eastAsia="zh-CN"/>
        </w:rPr>
        <w:t>common TA</w:t>
      </w:r>
      <w:r>
        <w:rPr>
          <w:rFonts w:eastAsiaTheme="minorEastAsia"/>
          <w:i/>
          <w:iCs/>
          <w:lang w:eastAsia="zh-CN"/>
        </w:rPr>
        <w:t>, K_mac</w:t>
      </w:r>
      <w:r>
        <w:rPr>
          <w:rFonts w:hint="eastAsia" w:eastAsiaTheme="minorEastAsia"/>
          <w:i/>
          <w:iCs/>
          <w:lang w:eastAsia="zh-CN"/>
        </w:rPr>
        <w:t xml:space="preserve">, </w:t>
      </w:r>
      <w:r>
        <w:rPr>
          <w:rFonts w:eastAsiaTheme="minorEastAsia"/>
          <w:i/>
          <w:iCs/>
          <w:lang w:eastAsia="zh-CN"/>
        </w:rPr>
        <w:t>ephemeris</w:t>
      </w:r>
      <w:r>
        <w:rPr>
          <w:rFonts w:hint="eastAsia" w:eastAsiaTheme="minorEastAsia"/>
          <w:i/>
          <w:iCs/>
          <w:lang w:eastAsia="zh-CN"/>
        </w:rPr>
        <w:t xml:space="preserve"> and </w:t>
      </w:r>
      <w:r>
        <w:rPr>
          <w:rFonts w:eastAsiaTheme="minorEastAsia"/>
          <w:i/>
          <w:iCs/>
          <w:lang w:eastAsia="zh-CN"/>
        </w:rPr>
        <w:t xml:space="preserve">cell-specific </w:t>
      </w:r>
      <w:r>
        <w:rPr>
          <w:rFonts w:hint="eastAsia" w:eastAsiaTheme="minorEastAsia"/>
          <w:i/>
          <w:iCs/>
          <w:lang w:eastAsia="zh-CN"/>
        </w:rPr>
        <w:t xml:space="preserve">K-offset are </w:t>
      </w:r>
      <w:r>
        <w:rPr>
          <w:rFonts w:eastAsiaTheme="minorEastAsia"/>
          <w:i/>
          <w:iCs/>
          <w:lang w:eastAsia="zh-CN"/>
        </w:rPr>
        <w:t>applied</w:t>
      </w:r>
      <w:r>
        <w:rPr>
          <w:rFonts w:hint="eastAsia" w:eastAsiaTheme="minorEastAsia"/>
          <w:i/>
          <w:iCs/>
          <w:lang w:eastAsia="zh-CN"/>
        </w:rPr>
        <w:t xml:space="preserve"> </w:t>
      </w:r>
      <w:r>
        <w:rPr>
          <w:rFonts w:eastAsiaTheme="minorEastAsia"/>
          <w:i/>
          <w:iCs/>
          <w:lang w:eastAsia="zh-CN"/>
        </w:rPr>
        <w:t>during</w:t>
      </w:r>
      <w:r>
        <w:rPr>
          <w:rFonts w:hint="eastAsia" w:eastAsiaTheme="minorEastAsia"/>
          <w:i/>
          <w:iCs/>
          <w:lang w:eastAsia="zh-CN"/>
        </w:rPr>
        <w:t xml:space="preserve"> resynchronization to new satellite.</w:t>
      </w:r>
    </w:p>
    <w:p>
      <w:pPr>
        <w:pStyle w:val="109"/>
        <w:numPr>
          <w:ilvl w:val="0"/>
          <w:numId w:val="13"/>
        </w:numPr>
        <w:ind w:firstLineChars="0"/>
        <w:rPr>
          <w:rFonts w:eastAsiaTheme="minorEastAsia"/>
          <w:i/>
          <w:iCs/>
          <w:lang w:eastAsia="zh-CN"/>
        </w:rPr>
      </w:pPr>
      <w:r>
        <w:rPr>
          <w:rFonts w:eastAsiaTheme="minorEastAsia"/>
          <w:i/>
          <w:iCs/>
          <w:lang w:eastAsia="zh-CN"/>
        </w:rPr>
        <w:t xml:space="preserve">UE </w:t>
      </w:r>
      <w:r>
        <w:rPr>
          <w:rFonts w:hint="eastAsia" w:eastAsiaTheme="minorEastAsia"/>
          <w:i/>
          <w:iCs/>
          <w:lang w:eastAsia="zh-CN"/>
        </w:rPr>
        <w:t xml:space="preserve">may be provided with the information if needed to detect the </w:t>
      </w:r>
      <w:r>
        <w:rPr>
          <w:rFonts w:eastAsiaTheme="minorEastAsia"/>
          <w:i/>
          <w:iCs/>
          <w:lang w:eastAsia="zh-CN"/>
        </w:rPr>
        <w:t>SSB of the new satellite</w:t>
      </w:r>
      <w:r>
        <w:rPr>
          <w:rFonts w:hint="eastAsia" w:eastAsiaTheme="minorEastAsia"/>
          <w:i/>
          <w:iCs/>
          <w:lang w:eastAsia="zh-CN"/>
        </w:rPr>
        <w:t xml:space="preserve"> for soft </w:t>
      </w:r>
      <w:r>
        <w:rPr>
          <w:rFonts w:eastAsiaTheme="minorEastAsia"/>
          <w:i/>
          <w:iCs/>
          <w:lang w:eastAsia="zh-CN"/>
        </w:rPr>
        <w:t>satellite</w:t>
      </w:r>
      <w:r>
        <w:rPr>
          <w:rFonts w:hint="eastAsia" w:eastAsiaTheme="minorEastAsia"/>
          <w:i/>
          <w:iCs/>
          <w:lang w:eastAsia="zh-CN"/>
        </w:rPr>
        <w:t xml:space="preserve"> switching.</w:t>
      </w:r>
    </w:p>
    <w:p>
      <w:pPr>
        <w:pStyle w:val="109"/>
        <w:numPr>
          <w:ilvl w:val="0"/>
          <w:numId w:val="13"/>
        </w:numPr>
        <w:ind w:firstLineChars="0"/>
        <w:rPr>
          <w:rFonts w:eastAsiaTheme="minorEastAsia"/>
          <w:i/>
          <w:iCs/>
          <w:lang w:eastAsia="zh-CN"/>
        </w:rPr>
      </w:pPr>
      <w:r>
        <w:rPr>
          <w:rFonts w:eastAsiaTheme="minorEastAsia"/>
          <w:i/>
          <w:iCs/>
          <w:lang w:eastAsia="zh-CN"/>
        </w:rPr>
        <w:t xml:space="preserve">The </w:t>
      </w:r>
      <w:r>
        <w:rPr>
          <w:rFonts w:hint="eastAsia" w:eastAsiaTheme="minorEastAsia"/>
          <w:i/>
          <w:iCs/>
          <w:lang w:eastAsia="zh-CN"/>
        </w:rPr>
        <w:t>same UE behavior may be applied for soft satellite switching and hard satellite switching.</w:t>
      </w:r>
    </w:p>
    <w:p>
      <w:pPr>
        <w:pStyle w:val="60"/>
        <w:spacing w:after="0"/>
        <w:ind w:left="0" w:firstLine="0"/>
        <w:rPr>
          <w:rFonts w:hint="default" w:eastAsiaTheme="minorEastAsia"/>
          <w:b w:val="0"/>
          <w:bCs w:val="0"/>
          <w:lang w:val="en-US" w:eastAsia="zh-CN"/>
        </w:rPr>
      </w:pPr>
      <w:r>
        <w:rPr>
          <w:rFonts w:hint="eastAsia"/>
          <w:color w:val="000000"/>
          <w:szCs w:val="20"/>
          <w:lang w:val="en-US" w:eastAsia="zh-CN"/>
        </w:rPr>
        <w:t>Therefore, to push the progress, we suggest RAN2 to also confirm the feasibility of soft satellite switch.</w:t>
      </w:r>
    </w:p>
    <w:p>
      <w:pPr>
        <w:pStyle w:val="60"/>
        <w:spacing w:after="0"/>
        <w:ind w:left="0" w:firstLine="0"/>
        <w:rPr>
          <w:rFonts w:hint="eastAsia" w:eastAsia="宋体"/>
          <w:b/>
          <w:bCs/>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3</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 is proposed that RAN2 confirms the feasibility of soft satellite switch with the conditions mentioned above in R18, and unified solutions are applied to both hard and soft satellite switching in PCI unchanged case.</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宋体"/>
          <w:sz w:val="28"/>
          <w:szCs w:val="28"/>
          <w:lang w:val="en-US" w:eastAsia="zh-CN"/>
        </w:rPr>
      </w:pPr>
      <w:r>
        <w:rPr>
          <w:rFonts w:hint="default"/>
          <w:b/>
          <w:bCs/>
          <w:sz w:val="28"/>
          <w:szCs w:val="28"/>
          <w:u w:val="single"/>
          <w:lang w:val="en-US"/>
        </w:rPr>
        <w:t>2.</w:t>
      </w:r>
      <w:r>
        <w:rPr>
          <w:rFonts w:hint="eastAsia" w:eastAsia="宋体"/>
          <w:b/>
          <w:bCs/>
          <w:sz w:val="28"/>
          <w:szCs w:val="28"/>
          <w:u w:val="single"/>
          <w:lang w:val="en-US" w:eastAsia="zh-CN"/>
        </w:rPr>
        <w:t>3</w:t>
      </w:r>
      <w:r>
        <w:rPr>
          <w:rFonts w:hint="default"/>
          <w:b/>
          <w:bCs/>
          <w:sz w:val="28"/>
          <w:szCs w:val="28"/>
          <w:u w:val="single"/>
          <w:lang w:val="en-US"/>
        </w:rPr>
        <w:t xml:space="preserve"> </w:t>
      </w:r>
      <w:r>
        <w:rPr>
          <w:rFonts w:hint="eastAsia" w:eastAsia="宋体"/>
          <w:b/>
          <w:bCs/>
          <w:sz w:val="28"/>
          <w:szCs w:val="28"/>
          <w:u w:val="single"/>
          <w:lang w:val="en-US" w:eastAsia="zh-CN"/>
        </w:rPr>
        <w:t>Whether support scenarios that require t-gap or t-start</w:t>
      </w:r>
    </w:p>
    <w:p>
      <w:pPr>
        <w:pStyle w:val="60"/>
        <w:spacing w:after="0"/>
        <w:ind w:left="0" w:firstLine="0"/>
        <w:rPr>
          <w:rFonts w:hint="eastAsia" w:cs="Arial" w:eastAsiaTheme="minorEastAsia"/>
          <w:lang w:val="en-US" w:eastAsia="zh-CN"/>
        </w:rPr>
      </w:pPr>
      <w:r>
        <w:rPr>
          <w:rFonts w:hint="eastAsia" w:eastAsiaTheme="minorEastAsia"/>
          <w:b w:val="0"/>
          <w:bCs w:val="0"/>
          <w:color w:val="auto"/>
          <w:sz w:val="20"/>
          <w:szCs w:val="20"/>
          <w:lang w:val="en-US" w:eastAsia="zh-CN"/>
        </w:rPr>
        <w:t xml:space="preserve">Then regarding the scenarios that PCI unchanged solution could apply, the </w:t>
      </w:r>
      <w:r>
        <w:t>the case where the coverage gap is zero or negligible (where there is no need to introduce t-gap or t-start)</w:t>
      </w:r>
      <w:r>
        <w:rPr>
          <w:rFonts w:hint="eastAsia" w:eastAsia="宋体"/>
          <w:lang w:val="en-US" w:eastAsia="zh-CN"/>
        </w:rPr>
        <w:t xml:space="preserve"> is agreed and whether support scenarios that require the introduction of t-gap or t-start is for further study. From our perspective, </w:t>
      </w:r>
      <w:r>
        <w:rPr>
          <w:rFonts w:ascii="Arial" w:hAnsi="Arial" w:cs="Arial" w:eastAsiaTheme="minorEastAsia"/>
          <w:lang w:val="en-US" w:eastAsia="zh-CN"/>
        </w:rPr>
        <w:t>NR NTN has never discussed discontinuous coverage case</w:t>
      </w:r>
      <w:r>
        <w:rPr>
          <w:rFonts w:hint="eastAsia" w:cs="Arial" w:eastAsiaTheme="minorEastAsia"/>
          <w:lang w:val="en-US" w:eastAsia="zh-CN"/>
        </w:rPr>
        <w:t xml:space="preserve"> until now</w:t>
      </w:r>
      <w:r>
        <w:rPr>
          <w:rFonts w:ascii="Arial" w:hAnsi="Arial" w:cs="Arial" w:eastAsiaTheme="minorEastAsia"/>
          <w:lang w:val="en-US" w:eastAsia="zh-CN"/>
        </w:rPr>
        <w:t xml:space="preserve">, </w:t>
      </w:r>
      <w:r>
        <w:rPr>
          <w:rFonts w:hint="eastAsia" w:cs="Arial" w:eastAsiaTheme="minorEastAsia"/>
          <w:lang w:val="en-US" w:eastAsia="zh-CN"/>
        </w:rPr>
        <w:t>which means the</w:t>
      </w:r>
      <w:r>
        <w:rPr>
          <w:rFonts w:hint="eastAsia" w:ascii="Arial" w:hAnsi="Arial" w:cs="Arial" w:eastAsiaTheme="minorEastAsia"/>
          <w:lang w:val="en-US" w:eastAsia="zh-CN"/>
        </w:rPr>
        <w:t xml:space="preserve"> coverage</w:t>
      </w:r>
      <w:r>
        <w:rPr>
          <w:rFonts w:hint="eastAsia" w:cs="Arial" w:eastAsiaTheme="minorEastAsia"/>
          <w:lang w:val="en-US" w:eastAsia="zh-CN"/>
        </w:rPr>
        <w:t xml:space="preserve"> gap</w:t>
      </w:r>
      <w:r>
        <w:rPr>
          <w:rFonts w:hint="eastAsia" w:ascii="Arial" w:hAnsi="Arial" w:cs="Arial" w:eastAsiaTheme="minorEastAsia"/>
          <w:lang w:val="en-US" w:eastAsia="zh-CN"/>
        </w:rPr>
        <w:t xml:space="preserve"> </w:t>
      </w:r>
      <w:r>
        <w:rPr>
          <w:rFonts w:hint="eastAsia" w:cs="Arial" w:eastAsiaTheme="minorEastAsia"/>
          <w:lang w:val="en-US" w:eastAsia="zh-CN"/>
        </w:rPr>
        <w:t>could</w:t>
      </w:r>
      <w:r>
        <w:rPr>
          <w:rFonts w:hint="eastAsia" w:ascii="Arial" w:hAnsi="Arial" w:cs="Arial" w:eastAsiaTheme="minorEastAsia"/>
          <w:lang w:val="en-US" w:eastAsia="zh-CN"/>
        </w:rPr>
        <w:t xml:space="preserve"> be ignored</w:t>
      </w:r>
      <w:r>
        <w:rPr>
          <w:rFonts w:hint="eastAsia" w:cs="Arial" w:eastAsiaTheme="minorEastAsia"/>
          <w:lang w:val="en-US" w:eastAsia="zh-CN"/>
        </w:rPr>
        <w:t xml:space="preserve">. However, considering the soft satellite switch case whose feasibility is already confirmed by RAN1 and the future extension of applying the unchanged PCI to more scenarios, we could discuss enhancements to support scenarios that require t-gap or t-start. </w:t>
      </w:r>
    </w:p>
    <w:p>
      <w:pPr>
        <w:pStyle w:val="60"/>
        <w:spacing w:after="0"/>
        <w:ind w:left="0" w:firstLine="0"/>
        <w:rPr>
          <w:rFonts w:hint="eastAsia" w:eastAsia="宋体"/>
          <w:b/>
          <w:bCs/>
          <w:lang w:val="en-US" w:eastAsia="zh-CN"/>
        </w:rPr>
      </w:pPr>
      <w:r>
        <w:rPr>
          <w:rFonts w:hint="eastAsia" w:eastAsia="宋体"/>
          <w:b/>
          <w:bCs/>
          <w:lang w:val="en-US" w:eastAsia="zh-CN"/>
        </w:rPr>
        <w:t xml:space="preserve">Proposal 4: Support scenarios that require t-gap or t-start considering the soft satellite switch case whose feasibility is already confirmed by RAN1 and the future extension of applying the unchanged PCI to more scenarios. </w:t>
      </w:r>
    </w:p>
    <w:p>
      <w:pPr>
        <w:pStyle w:val="60"/>
        <w:spacing w:after="0"/>
        <w:ind w:left="0" w:firstLine="0"/>
        <w:rPr>
          <w:rFonts w:hint="eastAsia" w:eastAsia="宋体"/>
          <w:b/>
          <w:bCs/>
          <w:lang w:val="en-US" w:eastAsia="zh-CN"/>
        </w:rPr>
      </w:pPr>
    </w:p>
    <w:p>
      <w:pPr>
        <w:pStyle w:val="60"/>
        <w:spacing w:after="0"/>
        <w:ind w:left="0" w:firstLine="0"/>
        <w:rPr>
          <w:rFonts w:hint="default" w:eastAsiaTheme="minorEastAsia"/>
          <w:b w:val="0"/>
          <w:bCs w:val="0"/>
          <w:color w:val="auto"/>
          <w:sz w:val="20"/>
          <w:szCs w:val="20"/>
          <w:lang w:val="en-US" w:eastAsia="zh-CN"/>
        </w:rPr>
      </w:pPr>
      <w:r>
        <w:rPr>
          <w:rFonts w:hint="eastAsia" w:eastAsiaTheme="minorEastAsia"/>
          <w:b w:val="0"/>
          <w:bCs w:val="0"/>
          <w:color w:val="auto"/>
          <w:sz w:val="20"/>
          <w:szCs w:val="20"/>
          <w:lang w:val="en-US" w:eastAsia="zh-CN"/>
        </w:rPr>
        <w:t>And as the reply LS [2] indicated, for soft satellite switching, UE may be provided with the information if needed to detect the SSB of the new satellite. The parameter discussed in RAN2, i.e. t-start or t-gap, may be considered as the assistance information to help UE detect the SSB of the new satellite. With such per satellite information, UE could distinguish the SSB from different satellites in the soft switching scenario.</w:t>
      </w:r>
    </w:p>
    <w:p>
      <w:pPr>
        <w:pStyle w:val="60"/>
        <w:spacing w:after="0"/>
        <w:ind w:left="0" w:firstLine="0"/>
        <w:rPr>
          <w:rFonts w:hint="eastAsia" w:eastAsiaTheme="minorEastAsia"/>
          <w:b/>
          <w:bCs/>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5</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 is proposed that t-start or t-gap could be considered to help UE detect the SSB of the new satellite for soft satellite switching.</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宋体"/>
          <w:sz w:val="28"/>
          <w:szCs w:val="28"/>
          <w:lang w:val="en-US" w:eastAsia="zh-CN"/>
        </w:rPr>
      </w:pPr>
      <w:r>
        <w:rPr>
          <w:rFonts w:hint="default"/>
          <w:b/>
          <w:bCs/>
          <w:sz w:val="28"/>
          <w:szCs w:val="28"/>
          <w:u w:val="single"/>
          <w:lang w:val="en-US"/>
        </w:rPr>
        <w:t>2.</w:t>
      </w:r>
      <w:r>
        <w:rPr>
          <w:rFonts w:hint="eastAsia" w:eastAsia="宋体"/>
          <w:b/>
          <w:bCs/>
          <w:sz w:val="28"/>
          <w:szCs w:val="28"/>
          <w:u w:val="single"/>
          <w:lang w:val="en-US" w:eastAsia="zh-CN"/>
        </w:rPr>
        <w:t>4</w:t>
      </w:r>
      <w:r>
        <w:rPr>
          <w:rFonts w:hint="default"/>
          <w:b/>
          <w:bCs/>
          <w:sz w:val="28"/>
          <w:szCs w:val="28"/>
          <w:u w:val="single"/>
          <w:lang w:val="en-US"/>
        </w:rPr>
        <w:t xml:space="preserve"> </w:t>
      </w:r>
      <w:r>
        <w:rPr>
          <w:rFonts w:hint="eastAsia" w:eastAsia="宋体"/>
          <w:b/>
          <w:bCs/>
          <w:sz w:val="28"/>
          <w:szCs w:val="28"/>
          <w:u w:val="single"/>
          <w:lang w:val="en-US" w:eastAsia="zh-CN"/>
        </w:rPr>
        <w:t>Time alignment timer (TAT) handling</w:t>
      </w:r>
    </w:p>
    <w:p>
      <w:pPr>
        <w:pStyle w:val="60"/>
        <w:spacing w:after="0"/>
        <w:ind w:left="0" w:firstLine="0"/>
        <w:rPr>
          <w:rFonts w:hint="default" w:eastAsiaTheme="minorEastAsia"/>
          <w:b w:val="0"/>
          <w:bCs w:val="0"/>
          <w:color w:val="auto"/>
          <w:sz w:val="20"/>
          <w:szCs w:val="20"/>
          <w:lang w:val="en-US" w:eastAsia="zh-CN"/>
        </w:rPr>
      </w:pPr>
      <w:r>
        <w:rPr>
          <w:rFonts w:hint="eastAsia" w:eastAsiaTheme="minorEastAsia"/>
          <w:b w:val="0"/>
          <w:bCs w:val="0"/>
          <w:color w:val="auto"/>
          <w:sz w:val="20"/>
          <w:szCs w:val="20"/>
          <w:lang w:val="en-US" w:eastAsia="zh-CN"/>
        </w:rPr>
        <w:t>In last meeting, we have agreed that in the unchanged PCI case, the UE considers UL synchronization timer expired at t-Service (current cell stop time) to stop any UL operation while FFS on timeAlignmentTimer handling. From our perspective, considering satellite switching, the serving beam is different, UE would obtain new SIB19 of new satellite, thence it may be reasonable to reset the TAT at t-service of old satellite and restart the timer after successfully completing the RACH procedure to the new satellite.</w:t>
      </w:r>
    </w:p>
    <w:p>
      <w:pPr>
        <w:pStyle w:val="60"/>
        <w:spacing w:after="0"/>
        <w:ind w:left="0" w:firstLine="0"/>
        <w:rPr>
          <w:rFonts w:hint="default" w:eastAsiaTheme="minorEastAsia"/>
          <w:b w:val="0"/>
          <w:bCs w:val="0"/>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6</w:t>
      </w:r>
      <w:r>
        <w:rPr>
          <w:rFonts w:eastAsiaTheme="minorEastAsia"/>
          <w:b/>
          <w:bCs/>
          <w:color w:val="auto"/>
          <w:sz w:val="20"/>
          <w:szCs w:val="20"/>
          <w:lang w:eastAsia="zh-CN"/>
        </w:rPr>
        <w:t>:</w:t>
      </w:r>
      <w:r>
        <w:rPr>
          <w:rFonts w:hint="eastAsia" w:eastAsiaTheme="minorEastAsia"/>
          <w:b/>
          <w:bCs/>
          <w:color w:val="auto"/>
          <w:sz w:val="20"/>
          <w:szCs w:val="20"/>
          <w:lang w:val="en-US" w:eastAsia="zh-CN"/>
        </w:rPr>
        <w:t xml:space="preserve"> In PCI unchanged scenario, UE considers timerAlignmentTimer expired at t-Service.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rPr>
      </w:pPr>
      <w:r>
        <w:rPr>
          <w:rFonts w:eastAsia="宋体" w:cs="Arial"/>
        </w:rPr>
        <w:t xml:space="preserve">Based on the discussions mentioned above, in this contribution we provide some </w:t>
      </w:r>
      <w:r>
        <w:rPr>
          <w:rFonts w:hint="default" w:eastAsia="宋体" w:cs="Arial"/>
          <w:lang w:val="en-US"/>
        </w:rPr>
        <w:t xml:space="preserve">further </w:t>
      </w:r>
      <w:r>
        <w:rPr>
          <w:rFonts w:eastAsia="宋体" w:cs="Arial"/>
        </w:rPr>
        <w:t xml:space="preserve">discussions </w:t>
      </w:r>
      <w:r>
        <w:rPr>
          <w:rFonts w:hint="eastAsia" w:eastAsiaTheme="minorEastAsia"/>
          <w:lang w:eastAsia="zh-CN"/>
        </w:rPr>
        <w:t xml:space="preserve">on </w:t>
      </w:r>
      <w:r>
        <w:rPr>
          <w:rFonts w:hint="default" w:cs="Arial" w:eastAsiaTheme="minorEastAsia"/>
          <w:lang w:val="en-US"/>
        </w:rPr>
        <w:t xml:space="preserve">PCI unchanged </w:t>
      </w:r>
      <w:r>
        <w:rPr>
          <w:rFonts w:hint="eastAsia" w:cs="Arial" w:eastAsiaTheme="minorEastAsia"/>
          <w:lang w:val="en-US" w:eastAsia="zh-CN"/>
        </w:rPr>
        <w:t>solution</w:t>
      </w:r>
      <w:r>
        <w:rPr>
          <w:rFonts w:eastAsiaTheme="minorEastAsia"/>
          <w:lang w:eastAsia="zh-CN"/>
        </w:rPr>
        <w:t xml:space="preserve"> </w:t>
      </w:r>
      <w:r>
        <w:rPr>
          <w:rFonts w:eastAsia="宋体" w:cs="Arial"/>
        </w:rPr>
        <w:t>and have the following proposals:</w:t>
      </w:r>
    </w:p>
    <w:p>
      <w:pPr>
        <w:pStyle w:val="60"/>
        <w:keepNext w:val="0"/>
        <w:keepLines w:val="0"/>
        <w:pageBreakBefore w:val="0"/>
        <w:widowControl/>
        <w:kinsoku/>
        <w:wordWrap/>
        <w:overflowPunct w:val="0"/>
        <w:topLinePunct w:val="0"/>
        <w:autoSpaceDE w:val="0"/>
        <w:autoSpaceDN w:val="0"/>
        <w:bidi w:val="0"/>
        <w:adjustRightInd w:val="0"/>
        <w:snapToGrid/>
        <w:spacing w:before="120" w:after="0"/>
        <w:ind w:left="0" w:firstLine="0"/>
        <w:textAlignment w:val="baseline"/>
        <w:rPr>
          <w:rFonts w:hint="eastAsia" w:eastAsia="宋体"/>
          <w:b/>
          <w:bCs/>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1</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w:t>
      </w:r>
      <w:r>
        <w:rPr>
          <w:rFonts w:hint="eastAsia" w:eastAsia="宋体"/>
          <w:b/>
          <w:bCs/>
          <w:lang w:val="en-US" w:eastAsia="zh-CN"/>
        </w:rPr>
        <w:t xml:space="preserve"> is proposed that the indication is included in the system information(e.g. reuse SIB19).</w:t>
      </w:r>
    </w:p>
    <w:p>
      <w:pPr>
        <w:pStyle w:val="60"/>
        <w:spacing w:after="0"/>
        <w:ind w:left="0" w:firstLine="0"/>
        <w:rPr>
          <w:rFonts w:hint="eastAsia" w:eastAsia="宋体"/>
          <w:b/>
          <w:bCs/>
          <w:lang w:val="en-US" w:eastAsia="zh-CN"/>
        </w:rPr>
      </w:pPr>
      <w:r>
        <w:rPr>
          <w:rFonts w:hint="eastAsia" w:eastAsia="宋体"/>
          <w:b/>
          <w:bCs/>
          <w:lang w:val="en-US" w:eastAsia="zh-CN"/>
        </w:rPr>
        <w:t>Proposal 2: In order to help UE to know the duration of the unchanged PCI scenario, the following two options could be considered:</w:t>
      </w:r>
    </w:p>
    <w:p>
      <w:pPr>
        <w:pStyle w:val="60"/>
        <w:spacing w:after="0"/>
        <w:ind w:left="0" w:firstLine="567" w:firstLineChars="0"/>
        <w:rPr>
          <w:rFonts w:hint="eastAsia" w:eastAsia="宋体"/>
          <w:b/>
          <w:bCs/>
          <w:lang w:val="en-US" w:eastAsia="zh-CN"/>
        </w:rPr>
      </w:pPr>
      <w:r>
        <w:rPr>
          <w:rFonts w:hint="eastAsia" w:eastAsia="宋体"/>
          <w:b/>
          <w:bCs/>
          <w:lang w:val="en-US" w:eastAsia="zh-CN"/>
        </w:rPr>
        <w:t>Option 1: include the indication in the system information(e.g. SIB19) along with each new coming satellite</w:t>
      </w:r>
    </w:p>
    <w:p>
      <w:pPr>
        <w:pStyle w:val="60"/>
        <w:spacing w:after="0"/>
        <w:ind w:left="0" w:firstLine="567" w:firstLineChars="0"/>
        <w:rPr>
          <w:rFonts w:hint="eastAsia" w:eastAsia="宋体"/>
          <w:b/>
          <w:bCs/>
          <w:lang w:val="en-US" w:eastAsia="zh-CN"/>
        </w:rPr>
      </w:pPr>
      <w:r>
        <w:rPr>
          <w:rFonts w:hint="eastAsia" w:eastAsia="宋体"/>
          <w:b/>
          <w:bCs/>
          <w:lang w:val="en-US" w:eastAsia="zh-CN"/>
        </w:rPr>
        <w:t>Option 2: introduce time information together with the indication</w:t>
      </w:r>
    </w:p>
    <w:p>
      <w:pPr>
        <w:pStyle w:val="60"/>
        <w:spacing w:after="0"/>
        <w:ind w:left="0" w:firstLine="0"/>
        <w:rPr>
          <w:rFonts w:hint="eastAsia" w:eastAsia="宋体"/>
          <w:b/>
          <w:bCs/>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3</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 is proposed that RAN2 confirms the feasibility of soft satellite switch with the conditions mentioned above in R18, and unified solutions are applied to both hard and soft satellite switching in PCI unchanged case.</w:t>
      </w:r>
    </w:p>
    <w:p>
      <w:pPr>
        <w:pStyle w:val="60"/>
        <w:spacing w:after="0"/>
        <w:ind w:left="0" w:firstLine="0"/>
        <w:rPr>
          <w:rFonts w:hint="eastAsia" w:eastAsia="宋体"/>
          <w:b/>
          <w:bCs/>
          <w:lang w:val="en-US" w:eastAsia="zh-CN"/>
        </w:rPr>
      </w:pPr>
      <w:r>
        <w:rPr>
          <w:rFonts w:hint="eastAsia" w:eastAsia="宋体"/>
          <w:b/>
          <w:bCs/>
          <w:lang w:val="en-US" w:eastAsia="zh-CN"/>
        </w:rPr>
        <w:t xml:space="preserve">Proposal 4: Support scenarios that require t-gap or t-start considering the soft satellite switch case whose feasibility is already confirmed by RAN1 and the future extension of applying the unchanged PCI to more scenarios. </w:t>
      </w:r>
    </w:p>
    <w:p>
      <w:pPr>
        <w:pStyle w:val="60"/>
        <w:spacing w:after="0"/>
        <w:ind w:left="0" w:firstLine="0"/>
        <w:rPr>
          <w:rFonts w:hint="eastAsia" w:eastAsiaTheme="minorEastAsia"/>
          <w:b/>
          <w:bCs/>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5</w:t>
      </w:r>
      <w:r>
        <w:rPr>
          <w:rFonts w:eastAsiaTheme="minorEastAsia"/>
          <w:b/>
          <w:bCs/>
          <w:color w:val="auto"/>
          <w:sz w:val="20"/>
          <w:szCs w:val="20"/>
          <w:lang w:eastAsia="zh-CN"/>
        </w:rPr>
        <w:t xml:space="preserve">: </w:t>
      </w:r>
      <w:r>
        <w:rPr>
          <w:rFonts w:hint="eastAsia" w:eastAsiaTheme="minorEastAsia"/>
          <w:b/>
          <w:bCs/>
          <w:color w:val="auto"/>
          <w:sz w:val="20"/>
          <w:szCs w:val="20"/>
          <w:lang w:val="en-US" w:eastAsia="zh-CN"/>
        </w:rPr>
        <w:t>It is proposed that t-start or t-gap could be considered to help UE detect the SSB of the new satellite for soft satellite switching.</w:t>
      </w:r>
    </w:p>
    <w:p>
      <w:pPr>
        <w:pStyle w:val="60"/>
        <w:spacing w:after="0"/>
        <w:ind w:left="0" w:firstLine="0"/>
        <w:rPr>
          <w:rFonts w:eastAsia="宋体" w:cs="Arial"/>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eastAsia" w:eastAsiaTheme="minorEastAsia"/>
          <w:b/>
          <w:bCs/>
          <w:color w:val="auto"/>
          <w:sz w:val="20"/>
          <w:szCs w:val="20"/>
          <w:lang w:val="en-US" w:eastAsia="zh-CN"/>
        </w:rPr>
        <w:t>6</w:t>
      </w:r>
      <w:r>
        <w:rPr>
          <w:rFonts w:eastAsiaTheme="minorEastAsia"/>
          <w:b/>
          <w:bCs/>
          <w:color w:val="auto"/>
          <w:sz w:val="20"/>
          <w:szCs w:val="20"/>
          <w:lang w:eastAsia="zh-CN"/>
        </w:rPr>
        <w:t>:</w:t>
      </w:r>
      <w:r>
        <w:rPr>
          <w:rFonts w:hint="eastAsia" w:eastAsiaTheme="minorEastAsia"/>
          <w:b/>
          <w:bCs/>
          <w:color w:val="auto"/>
          <w:sz w:val="20"/>
          <w:szCs w:val="20"/>
          <w:lang w:val="en-US" w:eastAsia="zh-CN"/>
        </w:rPr>
        <w:t xml:space="preserve"> In PCI unchanged scenario, UE considers timerAlignmentTimer expired at t-Service.</w:t>
      </w:r>
    </w:p>
    <w:p>
      <w:pPr>
        <w:pStyle w:val="2"/>
        <w:rPr>
          <w:rFonts w:cs="Arial"/>
          <w:sz w:val="32"/>
          <w:szCs w:val="32"/>
        </w:rPr>
      </w:pPr>
      <w:r>
        <w:rPr>
          <w:rFonts w:cs="Arial"/>
          <w:sz w:val="32"/>
          <w:szCs w:val="32"/>
        </w:rPr>
        <w:t>Reference</w:t>
      </w:r>
    </w:p>
    <w:p>
      <w:pPr>
        <w:pStyle w:val="29"/>
        <w:numPr>
          <w:ilvl w:val="0"/>
          <w:numId w:val="14"/>
        </w:numPr>
        <w:overflowPunct/>
        <w:autoSpaceDE/>
        <w:autoSpaceDN/>
        <w:adjustRightInd/>
        <w:spacing w:after="0"/>
        <w:jc w:val="left"/>
        <w:textAlignment w:val="auto"/>
        <w:rPr>
          <w:rFonts w:hint="eastAsia"/>
        </w:rPr>
      </w:pPr>
      <w:bookmarkStart w:id="3" w:name="_In-sequence_SDU_delivery"/>
      <w:bookmarkEnd w:id="3"/>
      <w:r>
        <w:rPr>
          <w:rFonts w:hint="eastAsia"/>
        </w:rPr>
        <w:t>R2-2308961 - Report from Break-out session on NR-NTN and IoT-NTN</w:t>
      </w:r>
    </w:p>
    <w:p>
      <w:pPr>
        <w:pStyle w:val="29"/>
        <w:numPr>
          <w:ilvl w:val="0"/>
          <w:numId w:val="14"/>
        </w:numPr>
        <w:overflowPunct/>
        <w:autoSpaceDE/>
        <w:autoSpaceDN/>
        <w:adjustRightInd/>
        <w:spacing w:after="0"/>
        <w:jc w:val="left"/>
        <w:textAlignment w:val="auto"/>
        <w:rPr>
          <w:rFonts w:hint="eastAsia"/>
        </w:rPr>
      </w:pPr>
      <w:r>
        <w:rPr>
          <w:rFonts w:hint="eastAsia" w:eastAsia="宋体"/>
          <w:lang w:val="en-US" w:eastAsia="zh-CN"/>
        </w:rPr>
        <w:t xml:space="preserve">R2-2309421_R1-2308566 </w:t>
      </w:r>
      <w:r>
        <w:rPr>
          <w:rFonts w:hint="eastAsia"/>
        </w:rPr>
        <w:t>Reply LS to RAN2 on unchanged PCI</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r>
      <w:rPr>
        <w:rStyle w:val="5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2602"/>
    <w:multiLevelType w:val="singleLevel"/>
    <w:tmpl w:val="87C42602"/>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24E76B45"/>
    <w:multiLevelType w:val="multilevel"/>
    <w:tmpl w:val="24E76B45"/>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3E7A12EE"/>
    <w:multiLevelType w:val="multilevel"/>
    <w:tmpl w:val="3E7A12E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290E2D"/>
    <w:multiLevelType w:val="multilevel"/>
    <w:tmpl w:val="74290E2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
  </w:num>
  <w:num w:numId="2">
    <w:abstractNumId w:val="4"/>
  </w:num>
  <w:num w:numId="3">
    <w:abstractNumId w:val="11"/>
  </w:num>
  <w:num w:numId="4">
    <w:abstractNumId w:val="8"/>
  </w:num>
  <w:num w:numId="5">
    <w:abstractNumId w:val="3"/>
  </w:num>
  <w:num w:numId="6">
    <w:abstractNumId w:val="6"/>
  </w:num>
  <w:num w:numId="7">
    <w:abstractNumId w:val="9"/>
  </w:num>
  <w:num w:numId="8">
    <w:abstractNumId w:val="5"/>
  </w:num>
  <w:num w:numId="9">
    <w:abstractNumId w:val="10"/>
  </w:num>
  <w:num w:numId="10">
    <w:abstractNumId w:val="12"/>
  </w:num>
  <w:num w:numId="11">
    <w:abstractNumId w:val="13"/>
  </w:num>
  <w:num w:numId="12">
    <w:abstractNumId w:val="7"/>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276"/>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C322DA"/>
    <w:rsid w:val="01F25B8A"/>
    <w:rsid w:val="021B0BE9"/>
    <w:rsid w:val="022F4B03"/>
    <w:rsid w:val="02502A58"/>
    <w:rsid w:val="02744528"/>
    <w:rsid w:val="02CC0A1F"/>
    <w:rsid w:val="02E54366"/>
    <w:rsid w:val="032530AC"/>
    <w:rsid w:val="0364379A"/>
    <w:rsid w:val="038303ED"/>
    <w:rsid w:val="03A11802"/>
    <w:rsid w:val="03F47F88"/>
    <w:rsid w:val="040C6C7E"/>
    <w:rsid w:val="048A5003"/>
    <w:rsid w:val="04AC5432"/>
    <w:rsid w:val="04B403C6"/>
    <w:rsid w:val="04BC080F"/>
    <w:rsid w:val="04C9640F"/>
    <w:rsid w:val="04F50E2F"/>
    <w:rsid w:val="05530EA2"/>
    <w:rsid w:val="055A535E"/>
    <w:rsid w:val="05606A49"/>
    <w:rsid w:val="05930217"/>
    <w:rsid w:val="05983EBC"/>
    <w:rsid w:val="05CF6A8D"/>
    <w:rsid w:val="05D1531A"/>
    <w:rsid w:val="06007ACB"/>
    <w:rsid w:val="06261BBF"/>
    <w:rsid w:val="06297A3E"/>
    <w:rsid w:val="063F594E"/>
    <w:rsid w:val="0654248D"/>
    <w:rsid w:val="06565EAE"/>
    <w:rsid w:val="065C2940"/>
    <w:rsid w:val="068640F2"/>
    <w:rsid w:val="06C6256D"/>
    <w:rsid w:val="06D74E65"/>
    <w:rsid w:val="076933EE"/>
    <w:rsid w:val="07835551"/>
    <w:rsid w:val="078C1F33"/>
    <w:rsid w:val="07AF7B4F"/>
    <w:rsid w:val="07B959B1"/>
    <w:rsid w:val="07EF7893"/>
    <w:rsid w:val="082F3563"/>
    <w:rsid w:val="083F0917"/>
    <w:rsid w:val="0841118C"/>
    <w:rsid w:val="0883289E"/>
    <w:rsid w:val="08AF444E"/>
    <w:rsid w:val="08C50AF1"/>
    <w:rsid w:val="08D401A1"/>
    <w:rsid w:val="08D67BFF"/>
    <w:rsid w:val="08EA5C32"/>
    <w:rsid w:val="09133D3D"/>
    <w:rsid w:val="098E6690"/>
    <w:rsid w:val="09975A7F"/>
    <w:rsid w:val="0A1A51CE"/>
    <w:rsid w:val="0A1C051B"/>
    <w:rsid w:val="0A9740DA"/>
    <w:rsid w:val="0ACC0F45"/>
    <w:rsid w:val="0B4A1814"/>
    <w:rsid w:val="0B510D2F"/>
    <w:rsid w:val="0B750489"/>
    <w:rsid w:val="0B790462"/>
    <w:rsid w:val="0BBD3CC9"/>
    <w:rsid w:val="0BD60B5C"/>
    <w:rsid w:val="0BDD630F"/>
    <w:rsid w:val="0BF27994"/>
    <w:rsid w:val="0C0C6D59"/>
    <w:rsid w:val="0C414FCA"/>
    <w:rsid w:val="0CAE5B2E"/>
    <w:rsid w:val="0CB720BC"/>
    <w:rsid w:val="0CF71E04"/>
    <w:rsid w:val="0D101C4D"/>
    <w:rsid w:val="0D4637A0"/>
    <w:rsid w:val="0D524167"/>
    <w:rsid w:val="0D557AC5"/>
    <w:rsid w:val="0D5873D0"/>
    <w:rsid w:val="0D681ED9"/>
    <w:rsid w:val="0D6C179F"/>
    <w:rsid w:val="0D954BE5"/>
    <w:rsid w:val="0DDB664A"/>
    <w:rsid w:val="0DEB7570"/>
    <w:rsid w:val="0E3F7929"/>
    <w:rsid w:val="0E891356"/>
    <w:rsid w:val="0E997EF0"/>
    <w:rsid w:val="0EC440FF"/>
    <w:rsid w:val="0F056678"/>
    <w:rsid w:val="0F2664ED"/>
    <w:rsid w:val="0F3D5590"/>
    <w:rsid w:val="0FCC0A5A"/>
    <w:rsid w:val="0FDC3582"/>
    <w:rsid w:val="0FE0018D"/>
    <w:rsid w:val="100C7A45"/>
    <w:rsid w:val="100D4FEC"/>
    <w:rsid w:val="10221AC0"/>
    <w:rsid w:val="10735303"/>
    <w:rsid w:val="10A92114"/>
    <w:rsid w:val="11043CD0"/>
    <w:rsid w:val="110F10D1"/>
    <w:rsid w:val="11251E72"/>
    <w:rsid w:val="11444F0B"/>
    <w:rsid w:val="11AD078F"/>
    <w:rsid w:val="11AF0158"/>
    <w:rsid w:val="11B82D63"/>
    <w:rsid w:val="11C5063A"/>
    <w:rsid w:val="11D764B8"/>
    <w:rsid w:val="12051E3F"/>
    <w:rsid w:val="125F4F1F"/>
    <w:rsid w:val="12B27083"/>
    <w:rsid w:val="12BA7EC6"/>
    <w:rsid w:val="12D22129"/>
    <w:rsid w:val="13116F0E"/>
    <w:rsid w:val="13132FCE"/>
    <w:rsid w:val="131928A2"/>
    <w:rsid w:val="134A0035"/>
    <w:rsid w:val="13583EC8"/>
    <w:rsid w:val="135C7F4F"/>
    <w:rsid w:val="137F42A5"/>
    <w:rsid w:val="138E0EE5"/>
    <w:rsid w:val="141B1C76"/>
    <w:rsid w:val="14680AF1"/>
    <w:rsid w:val="1488003E"/>
    <w:rsid w:val="14A20FFB"/>
    <w:rsid w:val="14F5502E"/>
    <w:rsid w:val="153214F9"/>
    <w:rsid w:val="153372CB"/>
    <w:rsid w:val="15831459"/>
    <w:rsid w:val="15B74BFE"/>
    <w:rsid w:val="15C93B10"/>
    <w:rsid w:val="15D930EE"/>
    <w:rsid w:val="15F67500"/>
    <w:rsid w:val="161350A1"/>
    <w:rsid w:val="16563130"/>
    <w:rsid w:val="169343E9"/>
    <w:rsid w:val="16A42B33"/>
    <w:rsid w:val="16AA08E2"/>
    <w:rsid w:val="16D45FC5"/>
    <w:rsid w:val="16F24CA6"/>
    <w:rsid w:val="17103259"/>
    <w:rsid w:val="17125755"/>
    <w:rsid w:val="17242980"/>
    <w:rsid w:val="172B7C90"/>
    <w:rsid w:val="1767603B"/>
    <w:rsid w:val="177E36D0"/>
    <w:rsid w:val="17B43BA9"/>
    <w:rsid w:val="17E36F09"/>
    <w:rsid w:val="180E362D"/>
    <w:rsid w:val="184B2922"/>
    <w:rsid w:val="185B38DD"/>
    <w:rsid w:val="189E3889"/>
    <w:rsid w:val="18AE3B3B"/>
    <w:rsid w:val="18B9619D"/>
    <w:rsid w:val="18DA3C0F"/>
    <w:rsid w:val="19060E9A"/>
    <w:rsid w:val="191242AE"/>
    <w:rsid w:val="19AC5C42"/>
    <w:rsid w:val="19B6205F"/>
    <w:rsid w:val="19BC1AC5"/>
    <w:rsid w:val="1A0C44B7"/>
    <w:rsid w:val="1A330485"/>
    <w:rsid w:val="1AB75BA5"/>
    <w:rsid w:val="1AEF5DBD"/>
    <w:rsid w:val="1B0F6795"/>
    <w:rsid w:val="1B17668E"/>
    <w:rsid w:val="1B423649"/>
    <w:rsid w:val="1B4F7512"/>
    <w:rsid w:val="1B9B0470"/>
    <w:rsid w:val="1BA24967"/>
    <w:rsid w:val="1BD95F94"/>
    <w:rsid w:val="1BDA5141"/>
    <w:rsid w:val="1C3D1CD0"/>
    <w:rsid w:val="1C4F60C0"/>
    <w:rsid w:val="1C53671B"/>
    <w:rsid w:val="1C5E7298"/>
    <w:rsid w:val="1C7D0BE8"/>
    <w:rsid w:val="1C851710"/>
    <w:rsid w:val="1D3D57D8"/>
    <w:rsid w:val="1D967ECF"/>
    <w:rsid w:val="1D992346"/>
    <w:rsid w:val="1DA66888"/>
    <w:rsid w:val="1DDD518B"/>
    <w:rsid w:val="1E114B18"/>
    <w:rsid w:val="1E3072B7"/>
    <w:rsid w:val="1E403C53"/>
    <w:rsid w:val="1E423D32"/>
    <w:rsid w:val="1E833817"/>
    <w:rsid w:val="1E891DF2"/>
    <w:rsid w:val="1EA20D4A"/>
    <w:rsid w:val="1EAA6DF5"/>
    <w:rsid w:val="1EFF6958"/>
    <w:rsid w:val="1F2823FA"/>
    <w:rsid w:val="1F4A1DB4"/>
    <w:rsid w:val="1F734328"/>
    <w:rsid w:val="1FA11974"/>
    <w:rsid w:val="20203DE8"/>
    <w:rsid w:val="2031215C"/>
    <w:rsid w:val="203151BD"/>
    <w:rsid w:val="204D6087"/>
    <w:rsid w:val="2059108F"/>
    <w:rsid w:val="207E1CD5"/>
    <w:rsid w:val="20955704"/>
    <w:rsid w:val="20A45D3D"/>
    <w:rsid w:val="20B341CE"/>
    <w:rsid w:val="20DB7C51"/>
    <w:rsid w:val="20E9518E"/>
    <w:rsid w:val="20F84A28"/>
    <w:rsid w:val="210E5779"/>
    <w:rsid w:val="211313D4"/>
    <w:rsid w:val="21422F0B"/>
    <w:rsid w:val="215A1CC8"/>
    <w:rsid w:val="217205F8"/>
    <w:rsid w:val="21B27259"/>
    <w:rsid w:val="21F86645"/>
    <w:rsid w:val="226504D2"/>
    <w:rsid w:val="226F5EBB"/>
    <w:rsid w:val="22FC36C0"/>
    <w:rsid w:val="23290322"/>
    <w:rsid w:val="234E7F45"/>
    <w:rsid w:val="23A93966"/>
    <w:rsid w:val="2409684C"/>
    <w:rsid w:val="24147656"/>
    <w:rsid w:val="242016AE"/>
    <w:rsid w:val="245B6D34"/>
    <w:rsid w:val="24B5447A"/>
    <w:rsid w:val="24B82068"/>
    <w:rsid w:val="24CE08EB"/>
    <w:rsid w:val="24E10292"/>
    <w:rsid w:val="24E74628"/>
    <w:rsid w:val="24FA58CF"/>
    <w:rsid w:val="25043CC9"/>
    <w:rsid w:val="251761F2"/>
    <w:rsid w:val="25220439"/>
    <w:rsid w:val="254F15CD"/>
    <w:rsid w:val="25533A48"/>
    <w:rsid w:val="25780CEA"/>
    <w:rsid w:val="25A26714"/>
    <w:rsid w:val="25A477D9"/>
    <w:rsid w:val="263758B2"/>
    <w:rsid w:val="265F5431"/>
    <w:rsid w:val="2677429F"/>
    <w:rsid w:val="269A17E1"/>
    <w:rsid w:val="26C73FA7"/>
    <w:rsid w:val="26DD302F"/>
    <w:rsid w:val="27306E68"/>
    <w:rsid w:val="27606908"/>
    <w:rsid w:val="27640C16"/>
    <w:rsid w:val="278B6FA0"/>
    <w:rsid w:val="27B74383"/>
    <w:rsid w:val="27DD6B5A"/>
    <w:rsid w:val="27E26E59"/>
    <w:rsid w:val="2809471B"/>
    <w:rsid w:val="281640CF"/>
    <w:rsid w:val="28255BB3"/>
    <w:rsid w:val="283719E6"/>
    <w:rsid w:val="2837536E"/>
    <w:rsid w:val="285478B9"/>
    <w:rsid w:val="287D5E75"/>
    <w:rsid w:val="28841A40"/>
    <w:rsid w:val="28A736B5"/>
    <w:rsid w:val="28AD0B61"/>
    <w:rsid w:val="28AE4E60"/>
    <w:rsid w:val="28FC2163"/>
    <w:rsid w:val="290A157E"/>
    <w:rsid w:val="293D1A13"/>
    <w:rsid w:val="29423CBE"/>
    <w:rsid w:val="29B37B25"/>
    <w:rsid w:val="29CD3FA9"/>
    <w:rsid w:val="2ABF2591"/>
    <w:rsid w:val="2AC07447"/>
    <w:rsid w:val="2AC82235"/>
    <w:rsid w:val="2AE92EE3"/>
    <w:rsid w:val="2AF0613E"/>
    <w:rsid w:val="2B083F92"/>
    <w:rsid w:val="2B0E593D"/>
    <w:rsid w:val="2B542A45"/>
    <w:rsid w:val="2B914808"/>
    <w:rsid w:val="2BBC4D13"/>
    <w:rsid w:val="2BE04618"/>
    <w:rsid w:val="2BE54292"/>
    <w:rsid w:val="2C1D7AA9"/>
    <w:rsid w:val="2C8462A5"/>
    <w:rsid w:val="2CA00762"/>
    <w:rsid w:val="2CAF4414"/>
    <w:rsid w:val="2CDB6DF8"/>
    <w:rsid w:val="2CF51ED1"/>
    <w:rsid w:val="2CFA23BD"/>
    <w:rsid w:val="2D23038C"/>
    <w:rsid w:val="2D3B228A"/>
    <w:rsid w:val="2D3C4FB1"/>
    <w:rsid w:val="2D5923F4"/>
    <w:rsid w:val="2DB13E09"/>
    <w:rsid w:val="2DB6192E"/>
    <w:rsid w:val="2DBF3A8D"/>
    <w:rsid w:val="2DE67FFA"/>
    <w:rsid w:val="2DEF26F4"/>
    <w:rsid w:val="2DF36570"/>
    <w:rsid w:val="2DF75D2E"/>
    <w:rsid w:val="2EB775B3"/>
    <w:rsid w:val="2EE85B84"/>
    <w:rsid w:val="2EF94A67"/>
    <w:rsid w:val="2F5218C1"/>
    <w:rsid w:val="302E07AF"/>
    <w:rsid w:val="305E0BE8"/>
    <w:rsid w:val="30946552"/>
    <w:rsid w:val="30DB2505"/>
    <w:rsid w:val="30EF4A39"/>
    <w:rsid w:val="311B0263"/>
    <w:rsid w:val="317D29C7"/>
    <w:rsid w:val="318363A4"/>
    <w:rsid w:val="319D3380"/>
    <w:rsid w:val="31AA0C0A"/>
    <w:rsid w:val="31AE180F"/>
    <w:rsid w:val="32A942B0"/>
    <w:rsid w:val="32C61FBF"/>
    <w:rsid w:val="32F13120"/>
    <w:rsid w:val="32F1728F"/>
    <w:rsid w:val="33065266"/>
    <w:rsid w:val="333663A2"/>
    <w:rsid w:val="3368058A"/>
    <w:rsid w:val="33E26367"/>
    <w:rsid w:val="33F614DE"/>
    <w:rsid w:val="33F732D9"/>
    <w:rsid w:val="340B72BC"/>
    <w:rsid w:val="3424615F"/>
    <w:rsid w:val="345F6244"/>
    <w:rsid w:val="3482398D"/>
    <w:rsid w:val="34914DCA"/>
    <w:rsid w:val="34B15A7F"/>
    <w:rsid w:val="34C6331F"/>
    <w:rsid w:val="34D95BB9"/>
    <w:rsid w:val="34FC410B"/>
    <w:rsid w:val="352C0190"/>
    <w:rsid w:val="3592022B"/>
    <w:rsid w:val="35A27101"/>
    <w:rsid w:val="35BA0DB0"/>
    <w:rsid w:val="35DE2AA7"/>
    <w:rsid w:val="35E25C44"/>
    <w:rsid w:val="35FF5BFB"/>
    <w:rsid w:val="360577EE"/>
    <w:rsid w:val="360A1AA6"/>
    <w:rsid w:val="361C2353"/>
    <w:rsid w:val="3635547B"/>
    <w:rsid w:val="36392222"/>
    <w:rsid w:val="36746B61"/>
    <w:rsid w:val="36A9407C"/>
    <w:rsid w:val="36BD312A"/>
    <w:rsid w:val="36C8360D"/>
    <w:rsid w:val="36F1119E"/>
    <w:rsid w:val="36FA1D41"/>
    <w:rsid w:val="37253E8A"/>
    <w:rsid w:val="373102BD"/>
    <w:rsid w:val="373E497A"/>
    <w:rsid w:val="37483692"/>
    <w:rsid w:val="379A38CD"/>
    <w:rsid w:val="37C2178A"/>
    <w:rsid w:val="37E376C2"/>
    <w:rsid w:val="37ED2CCA"/>
    <w:rsid w:val="380411EC"/>
    <w:rsid w:val="38156DAA"/>
    <w:rsid w:val="381E6B0A"/>
    <w:rsid w:val="3829480D"/>
    <w:rsid w:val="383529C2"/>
    <w:rsid w:val="383C5BD0"/>
    <w:rsid w:val="38536D3F"/>
    <w:rsid w:val="388727CC"/>
    <w:rsid w:val="389F2534"/>
    <w:rsid w:val="39024B57"/>
    <w:rsid w:val="39D118C2"/>
    <w:rsid w:val="39ED61F1"/>
    <w:rsid w:val="3A06167E"/>
    <w:rsid w:val="3A4B3907"/>
    <w:rsid w:val="3A626ADC"/>
    <w:rsid w:val="3A690D4A"/>
    <w:rsid w:val="3A6F42D5"/>
    <w:rsid w:val="3A82293D"/>
    <w:rsid w:val="3A9900D9"/>
    <w:rsid w:val="3A9E2AD9"/>
    <w:rsid w:val="3AB008DF"/>
    <w:rsid w:val="3AE25040"/>
    <w:rsid w:val="3B8F45D9"/>
    <w:rsid w:val="3BC23F1A"/>
    <w:rsid w:val="3C1536DF"/>
    <w:rsid w:val="3C6B6636"/>
    <w:rsid w:val="3CAD2D9B"/>
    <w:rsid w:val="3CB87AB0"/>
    <w:rsid w:val="3CD8469E"/>
    <w:rsid w:val="3CE67B3B"/>
    <w:rsid w:val="3D2E7413"/>
    <w:rsid w:val="3D966C01"/>
    <w:rsid w:val="3DA51E2F"/>
    <w:rsid w:val="3DB43891"/>
    <w:rsid w:val="3DD513C5"/>
    <w:rsid w:val="3E572BFC"/>
    <w:rsid w:val="3E633F95"/>
    <w:rsid w:val="3ECB1166"/>
    <w:rsid w:val="3F100A04"/>
    <w:rsid w:val="3F251027"/>
    <w:rsid w:val="3F272409"/>
    <w:rsid w:val="3F952962"/>
    <w:rsid w:val="3FA408DF"/>
    <w:rsid w:val="402C7FBD"/>
    <w:rsid w:val="40325295"/>
    <w:rsid w:val="4035712D"/>
    <w:rsid w:val="40695B21"/>
    <w:rsid w:val="40877A7B"/>
    <w:rsid w:val="409D1207"/>
    <w:rsid w:val="40DA4F6A"/>
    <w:rsid w:val="40F82E28"/>
    <w:rsid w:val="410616AA"/>
    <w:rsid w:val="41314050"/>
    <w:rsid w:val="41585AC3"/>
    <w:rsid w:val="4196772F"/>
    <w:rsid w:val="41B34CCB"/>
    <w:rsid w:val="41B96EA2"/>
    <w:rsid w:val="41FA67C3"/>
    <w:rsid w:val="420610DF"/>
    <w:rsid w:val="42067372"/>
    <w:rsid w:val="420722F5"/>
    <w:rsid w:val="4228051F"/>
    <w:rsid w:val="426549D3"/>
    <w:rsid w:val="429544E1"/>
    <w:rsid w:val="42A73786"/>
    <w:rsid w:val="42CE6929"/>
    <w:rsid w:val="42F71CEC"/>
    <w:rsid w:val="43EA3811"/>
    <w:rsid w:val="442900AC"/>
    <w:rsid w:val="443B107F"/>
    <w:rsid w:val="4446021D"/>
    <w:rsid w:val="448F3C0D"/>
    <w:rsid w:val="44A17CE4"/>
    <w:rsid w:val="44B14540"/>
    <w:rsid w:val="44BA7E1E"/>
    <w:rsid w:val="44BE79C3"/>
    <w:rsid w:val="44D54572"/>
    <w:rsid w:val="45220D91"/>
    <w:rsid w:val="45575B41"/>
    <w:rsid w:val="45B0322B"/>
    <w:rsid w:val="45C801D1"/>
    <w:rsid w:val="45CA31DA"/>
    <w:rsid w:val="45EA5960"/>
    <w:rsid w:val="45EC6821"/>
    <w:rsid w:val="45F303D0"/>
    <w:rsid w:val="462951B1"/>
    <w:rsid w:val="464004CF"/>
    <w:rsid w:val="46B51FCF"/>
    <w:rsid w:val="46BA0199"/>
    <w:rsid w:val="46EA03AD"/>
    <w:rsid w:val="47062A9A"/>
    <w:rsid w:val="474979C9"/>
    <w:rsid w:val="47590B64"/>
    <w:rsid w:val="476808B4"/>
    <w:rsid w:val="47846325"/>
    <w:rsid w:val="47993F84"/>
    <w:rsid w:val="47BD666C"/>
    <w:rsid w:val="480A17DC"/>
    <w:rsid w:val="481C7B4D"/>
    <w:rsid w:val="482A22A2"/>
    <w:rsid w:val="485616AF"/>
    <w:rsid w:val="48B97BCD"/>
    <w:rsid w:val="48C30446"/>
    <w:rsid w:val="48DC1590"/>
    <w:rsid w:val="493375A8"/>
    <w:rsid w:val="49A12DBF"/>
    <w:rsid w:val="49F17322"/>
    <w:rsid w:val="4A284A82"/>
    <w:rsid w:val="4A662E1D"/>
    <w:rsid w:val="4A7279AC"/>
    <w:rsid w:val="4A7E32B4"/>
    <w:rsid w:val="4AB203A8"/>
    <w:rsid w:val="4AFC533A"/>
    <w:rsid w:val="4B1367B9"/>
    <w:rsid w:val="4B1A2C39"/>
    <w:rsid w:val="4B316DE7"/>
    <w:rsid w:val="4B9468B5"/>
    <w:rsid w:val="4BCD148A"/>
    <w:rsid w:val="4C353BC7"/>
    <w:rsid w:val="4C5A6AE5"/>
    <w:rsid w:val="4C5D54D6"/>
    <w:rsid w:val="4C814518"/>
    <w:rsid w:val="4C9046DA"/>
    <w:rsid w:val="4C91315E"/>
    <w:rsid w:val="4C920FA7"/>
    <w:rsid w:val="4C9668DA"/>
    <w:rsid w:val="4CAD0872"/>
    <w:rsid w:val="4CBF0E22"/>
    <w:rsid w:val="4CCE50CA"/>
    <w:rsid w:val="4D3A24A4"/>
    <w:rsid w:val="4D594475"/>
    <w:rsid w:val="4D904E8F"/>
    <w:rsid w:val="4D942FD5"/>
    <w:rsid w:val="4DB06342"/>
    <w:rsid w:val="4DC42348"/>
    <w:rsid w:val="4DEC01C6"/>
    <w:rsid w:val="4DF158ED"/>
    <w:rsid w:val="4E4D0205"/>
    <w:rsid w:val="4E9F07F8"/>
    <w:rsid w:val="4EA01FFE"/>
    <w:rsid w:val="4EC83A06"/>
    <w:rsid w:val="4F2C3853"/>
    <w:rsid w:val="4F3672F7"/>
    <w:rsid w:val="4F445889"/>
    <w:rsid w:val="4F7149CD"/>
    <w:rsid w:val="4F7F20AA"/>
    <w:rsid w:val="4F873909"/>
    <w:rsid w:val="4FF15837"/>
    <w:rsid w:val="4FF617D6"/>
    <w:rsid w:val="504C7732"/>
    <w:rsid w:val="506B2DFC"/>
    <w:rsid w:val="50D356AF"/>
    <w:rsid w:val="50E64646"/>
    <w:rsid w:val="511944E2"/>
    <w:rsid w:val="516A6684"/>
    <w:rsid w:val="518C6DB2"/>
    <w:rsid w:val="51C63FC9"/>
    <w:rsid w:val="51D32D99"/>
    <w:rsid w:val="51E261D3"/>
    <w:rsid w:val="52BB0FA2"/>
    <w:rsid w:val="530B5D78"/>
    <w:rsid w:val="53211227"/>
    <w:rsid w:val="532C26FC"/>
    <w:rsid w:val="53322A76"/>
    <w:rsid w:val="534357AA"/>
    <w:rsid w:val="5353095F"/>
    <w:rsid w:val="53C54AA3"/>
    <w:rsid w:val="53CB0441"/>
    <w:rsid w:val="53D073F3"/>
    <w:rsid w:val="541A35BA"/>
    <w:rsid w:val="541F35DC"/>
    <w:rsid w:val="54745BA3"/>
    <w:rsid w:val="54903B1E"/>
    <w:rsid w:val="54A648D1"/>
    <w:rsid w:val="54BC4786"/>
    <w:rsid w:val="54E44ED6"/>
    <w:rsid w:val="55306FAC"/>
    <w:rsid w:val="55496C8E"/>
    <w:rsid w:val="55571991"/>
    <w:rsid w:val="55C92EB4"/>
    <w:rsid w:val="55D62A66"/>
    <w:rsid w:val="55E502FC"/>
    <w:rsid w:val="55F36257"/>
    <w:rsid w:val="566931AC"/>
    <w:rsid w:val="56732764"/>
    <w:rsid w:val="56F374FB"/>
    <w:rsid w:val="57273679"/>
    <w:rsid w:val="57617E3C"/>
    <w:rsid w:val="576A4397"/>
    <w:rsid w:val="577333E1"/>
    <w:rsid w:val="57A4681C"/>
    <w:rsid w:val="57C22C94"/>
    <w:rsid w:val="57D50360"/>
    <w:rsid w:val="58226F2A"/>
    <w:rsid w:val="58296419"/>
    <w:rsid w:val="584060FB"/>
    <w:rsid w:val="58575DCB"/>
    <w:rsid w:val="588A6324"/>
    <w:rsid w:val="58930E60"/>
    <w:rsid w:val="58A17B6B"/>
    <w:rsid w:val="58ED71BB"/>
    <w:rsid w:val="5912308A"/>
    <w:rsid w:val="59620232"/>
    <w:rsid w:val="59A00F56"/>
    <w:rsid w:val="59B24039"/>
    <w:rsid w:val="59C13F78"/>
    <w:rsid w:val="5A31005C"/>
    <w:rsid w:val="5A5233BE"/>
    <w:rsid w:val="5B411AD2"/>
    <w:rsid w:val="5B606ED8"/>
    <w:rsid w:val="5B7116B1"/>
    <w:rsid w:val="5B8D1AC1"/>
    <w:rsid w:val="5BA3592C"/>
    <w:rsid w:val="5BCE27CA"/>
    <w:rsid w:val="5BF571AF"/>
    <w:rsid w:val="5C2B12DD"/>
    <w:rsid w:val="5C320ADE"/>
    <w:rsid w:val="5C354D15"/>
    <w:rsid w:val="5C5643FE"/>
    <w:rsid w:val="5C610721"/>
    <w:rsid w:val="5C8B6FF1"/>
    <w:rsid w:val="5CBC250A"/>
    <w:rsid w:val="5CC028EC"/>
    <w:rsid w:val="5CF574C6"/>
    <w:rsid w:val="5CFE4143"/>
    <w:rsid w:val="5D35434B"/>
    <w:rsid w:val="5D396426"/>
    <w:rsid w:val="5D3F50E3"/>
    <w:rsid w:val="5D4A5F73"/>
    <w:rsid w:val="5D5D3E87"/>
    <w:rsid w:val="5D962786"/>
    <w:rsid w:val="5D9D3CDA"/>
    <w:rsid w:val="5DA57179"/>
    <w:rsid w:val="5E204AD7"/>
    <w:rsid w:val="5E32584C"/>
    <w:rsid w:val="5E570B47"/>
    <w:rsid w:val="5E6D4BC0"/>
    <w:rsid w:val="5EAA1590"/>
    <w:rsid w:val="5EE64437"/>
    <w:rsid w:val="5F3E69CE"/>
    <w:rsid w:val="5F8A214E"/>
    <w:rsid w:val="5FCB2686"/>
    <w:rsid w:val="60005DE1"/>
    <w:rsid w:val="6009519E"/>
    <w:rsid w:val="604F208F"/>
    <w:rsid w:val="608032C5"/>
    <w:rsid w:val="60A244A6"/>
    <w:rsid w:val="60A94E56"/>
    <w:rsid w:val="60AD5F5F"/>
    <w:rsid w:val="60E30438"/>
    <w:rsid w:val="612D3C7B"/>
    <w:rsid w:val="61826F89"/>
    <w:rsid w:val="622B7806"/>
    <w:rsid w:val="62947A1C"/>
    <w:rsid w:val="62AD7268"/>
    <w:rsid w:val="62C41953"/>
    <w:rsid w:val="62CD6DE1"/>
    <w:rsid w:val="62CE7BE9"/>
    <w:rsid w:val="62E70A4E"/>
    <w:rsid w:val="62FD4A9D"/>
    <w:rsid w:val="6303455C"/>
    <w:rsid w:val="632C6FC4"/>
    <w:rsid w:val="634B3FF6"/>
    <w:rsid w:val="63D26D94"/>
    <w:rsid w:val="64323FFB"/>
    <w:rsid w:val="64460ECC"/>
    <w:rsid w:val="644F5E22"/>
    <w:rsid w:val="64681DB1"/>
    <w:rsid w:val="647C2485"/>
    <w:rsid w:val="64902A98"/>
    <w:rsid w:val="64A224F3"/>
    <w:rsid w:val="64D843A5"/>
    <w:rsid w:val="64F45079"/>
    <w:rsid w:val="652B7ADD"/>
    <w:rsid w:val="65761D79"/>
    <w:rsid w:val="663B46C9"/>
    <w:rsid w:val="663F30CF"/>
    <w:rsid w:val="665D5B01"/>
    <w:rsid w:val="66BA2E40"/>
    <w:rsid w:val="66DB6E0D"/>
    <w:rsid w:val="67095AC0"/>
    <w:rsid w:val="67413BF6"/>
    <w:rsid w:val="6755359A"/>
    <w:rsid w:val="6772546E"/>
    <w:rsid w:val="677A59C8"/>
    <w:rsid w:val="67A7418D"/>
    <w:rsid w:val="67A8014D"/>
    <w:rsid w:val="67D27C62"/>
    <w:rsid w:val="67DF6978"/>
    <w:rsid w:val="67F35192"/>
    <w:rsid w:val="682235E9"/>
    <w:rsid w:val="68293DA1"/>
    <w:rsid w:val="68680C6F"/>
    <w:rsid w:val="68734DC3"/>
    <w:rsid w:val="68CE177E"/>
    <w:rsid w:val="691371F0"/>
    <w:rsid w:val="692A5AB7"/>
    <w:rsid w:val="694E04D2"/>
    <w:rsid w:val="695567B3"/>
    <w:rsid w:val="698044A5"/>
    <w:rsid w:val="6A304D63"/>
    <w:rsid w:val="6A510F7A"/>
    <w:rsid w:val="6A6C6916"/>
    <w:rsid w:val="6AA67E64"/>
    <w:rsid w:val="6AE97EDA"/>
    <w:rsid w:val="6AF0586F"/>
    <w:rsid w:val="6B0D712F"/>
    <w:rsid w:val="6B28575B"/>
    <w:rsid w:val="6B43094C"/>
    <w:rsid w:val="6B6359C1"/>
    <w:rsid w:val="6B6401A9"/>
    <w:rsid w:val="6B676E74"/>
    <w:rsid w:val="6B941322"/>
    <w:rsid w:val="6BC63825"/>
    <w:rsid w:val="6BCE713E"/>
    <w:rsid w:val="6BE4485D"/>
    <w:rsid w:val="6C214A06"/>
    <w:rsid w:val="6C274491"/>
    <w:rsid w:val="6C3B431E"/>
    <w:rsid w:val="6C4E2177"/>
    <w:rsid w:val="6C5612E6"/>
    <w:rsid w:val="6C615051"/>
    <w:rsid w:val="6C831F76"/>
    <w:rsid w:val="6C857DA8"/>
    <w:rsid w:val="6CC1587C"/>
    <w:rsid w:val="6CE05E94"/>
    <w:rsid w:val="6CE1032F"/>
    <w:rsid w:val="6D0C53AD"/>
    <w:rsid w:val="6D2B74AA"/>
    <w:rsid w:val="6D697BC3"/>
    <w:rsid w:val="6D7111BC"/>
    <w:rsid w:val="6D73031E"/>
    <w:rsid w:val="6D743D4A"/>
    <w:rsid w:val="6D816E15"/>
    <w:rsid w:val="6D8A2110"/>
    <w:rsid w:val="6DCA5CB9"/>
    <w:rsid w:val="6DD87236"/>
    <w:rsid w:val="6E112981"/>
    <w:rsid w:val="6E280F38"/>
    <w:rsid w:val="6E2952EC"/>
    <w:rsid w:val="6E8A21F7"/>
    <w:rsid w:val="6EBC31C7"/>
    <w:rsid w:val="6EE97C2C"/>
    <w:rsid w:val="6F003289"/>
    <w:rsid w:val="6F2867BD"/>
    <w:rsid w:val="6F44559B"/>
    <w:rsid w:val="6F452AC1"/>
    <w:rsid w:val="6F4C1E12"/>
    <w:rsid w:val="6F6E67BD"/>
    <w:rsid w:val="6FA23BCC"/>
    <w:rsid w:val="6FB116C5"/>
    <w:rsid w:val="6FC67485"/>
    <w:rsid w:val="6FD70219"/>
    <w:rsid w:val="6FF81182"/>
    <w:rsid w:val="701174EE"/>
    <w:rsid w:val="701778AD"/>
    <w:rsid w:val="703A2630"/>
    <w:rsid w:val="70543E0A"/>
    <w:rsid w:val="709C594C"/>
    <w:rsid w:val="70C444DC"/>
    <w:rsid w:val="71603530"/>
    <w:rsid w:val="71BC2BB2"/>
    <w:rsid w:val="71D05F49"/>
    <w:rsid w:val="71FD66C1"/>
    <w:rsid w:val="72541045"/>
    <w:rsid w:val="72713341"/>
    <w:rsid w:val="72927A84"/>
    <w:rsid w:val="72BD57BE"/>
    <w:rsid w:val="72C95262"/>
    <w:rsid w:val="731F53F4"/>
    <w:rsid w:val="73265607"/>
    <w:rsid w:val="73DA0C3D"/>
    <w:rsid w:val="73F82EA2"/>
    <w:rsid w:val="74153873"/>
    <w:rsid w:val="74326E76"/>
    <w:rsid w:val="7435596C"/>
    <w:rsid w:val="746719A4"/>
    <w:rsid w:val="74722C9A"/>
    <w:rsid w:val="747E452E"/>
    <w:rsid w:val="748556FA"/>
    <w:rsid w:val="748E0122"/>
    <w:rsid w:val="74920299"/>
    <w:rsid w:val="74E00156"/>
    <w:rsid w:val="74FA5A4A"/>
    <w:rsid w:val="755F161D"/>
    <w:rsid w:val="75826A49"/>
    <w:rsid w:val="75884210"/>
    <w:rsid w:val="75A746B3"/>
    <w:rsid w:val="75BD4A84"/>
    <w:rsid w:val="75C70B52"/>
    <w:rsid w:val="75EA7003"/>
    <w:rsid w:val="75F3371F"/>
    <w:rsid w:val="760D56E2"/>
    <w:rsid w:val="76DC0A0A"/>
    <w:rsid w:val="76EE218C"/>
    <w:rsid w:val="770D531F"/>
    <w:rsid w:val="772E0B03"/>
    <w:rsid w:val="77333282"/>
    <w:rsid w:val="773B6364"/>
    <w:rsid w:val="778A542A"/>
    <w:rsid w:val="778B4EF3"/>
    <w:rsid w:val="77C177F8"/>
    <w:rsid w:val="77CB21C8"/>
    <w:rsid w:val="77CD2D4D"/>
    <w:rsid w:val="77ED4479"/>
    <w:rsid w:val="77EF5E51"/>
    <w:rsid w:val="77FF7382"/>
    <w:rsid w:val="782F651C"/>
    <w:rsid w:val="78485FF0"/>
    <w:rsid w:val="78840B16"/>
    <w:rsid w:val="78903368"/>
    <w:rsid w:val="78A14A80"/>
    <w:rsid w:val="78B73836"/>
    <w:rsid w:val="79332F0B"/>
    <w:rsid w:val="79366DE4"/>
    <w:rsid w:val="795A2FE4"/>
    <w:rsid w:val="7975135A"/>
    <w:rsid w:val="79B308BE"/>
    <w:rsid w:val="79C11BD2"/>
    <w:rsid w:val="79D4129A"/>
    <w:rsid w:val="79E8078D"/>
    <w:rsid w:val="7A1971F1"/>
    <w:rsid w:val="7A3422EE"/>
    <w:rsid w:val="7A4774F3"/>
    <w:rsid w:val="7A502C91"/>
    <w:rsid w:val="7A6C100D"/>
    <w:rsid w:val="7A772DB3"/>
    <w:rsid w:val="7A9866DB"/>
    <w:rsid w:val="7A99027A"/>
    <w:rsid w:val="7A9F34CA"/>
    <w:rsid w:val="7AA678C6"/>
    <w:rsid w:val="7AAA3973"/>
    <w:rsid w:val="7B113087"/>
    <w:rsid w:val="7B36739D"/>
    <w:rsid w:val="7B434C9F"/>
    <w:rsid w:val="7B5441DD"/>
    <w:rsid w:val="7B554AA6"/>
    <w:rsid w:val="7B696F52"/>
    <w:rsid w:val="7B9E2E7D"/>
    <w:rsid w:val="7BC77CC7"/>
    <w:rsid w:val="7BCF66EE"/>
    <w:rsid w:val="7BEA35A6"/>
    <w:rsid w:val="7C050B07"/>
    <w:rsid w:val="7C4342F2"/>
    <w:rsid w:val="7C4B2D14"/>
    <w:rsid w:val="7C4E3224"/>
    <w:rsid w:val="7C851B76"/>
    <w:rsid w:val="7C985AF7"/>
    <w:rsid w:val="7C9E5594"/>
    <w:rsid w:val="7C9E7A01"/>
    <w:rsid w:val="7CA57017"/>
    <w:rsid w:val="7CAC5B6D"/>
    <w:rsid w:val="7CBD3BAE"/>
    <w:rsid w:val="7CE10885"/>
    <w:rsid w:val="7D0378B3"/>
    <w:rsid w:val="7D1C5482"/>
    <w:rsid w:val="7D2E186E"/>
    <w:rsid w:val="7D3A1F53"/>
    <w:rsid w:val="7D56680F"/>
    <w:rsid w:val="7D640B84"/>
    <w:rsid w:val="7D707D13"/>
    <w:rsid w:val="7D8F4D8B"/>
    <w:rsid w:val="7DBA4407"/>
    <w:rsid w:val="7DD14D63"/>
    <w:rsid w:val="7DE658FD"/>
    <w:rsid w:val="7E0773D0"/>
    <w:rsid w:val="7E203A10"/>
    <w:rsid w:val="7E482191"/>
    <w:rsid w:val="7E5D66DD"/>
    <w:rsid w:val="7E734104"/>
    <w:rsid w:val="7E7B09AB"/>
    <w:rsid w:val="7E827B5E"/>
    <w:rsid w:val="7EE43DB7"/>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0</TotalTime>
  <ScaleCrop>false</ScaleCrop>
  <LinksUpToDate>false</LinksUpToDate>
  <CharactersWithSpaces>14847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CMCC-lyz</cp:lastModifiedBy>
  <cp:lastPrinted>2021-08-05T02:34:00Z</cp:lastPrinted>
  <dcterms:modified xsi:type="dcterms:W3CDTF">2023-09-28T01:57:05Z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7EF2A00CFCBD4AB9A6D3C1B8DA1AACA2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